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C7C" w:rsidRPr="00F83E31" w:rsidRDefault="000F54BB" w:rsidP="000F54BB">
      <w:pPr>
        <w:jc w:val="center"/>
        <w:rPr>
          <w:rFonts w:ascii="Arial" w:hAnsi="Arial" w:cs="Arial"/>
          <w:b/>
          <w:sz w:val="40"/>
          <w:szCs w:val="40"/>
        </w:rPr>
      </w:pPr>
      <w:r w:rsidRPr="00F83E31">
        <w:rPr>
          <w:rFonts w:ascii="Arial" w:hAnsi="Arial" w:cs="Arial"/>
          <w:b/>
          <w:sz w:val="40"/>
          <w:szCs w:val="40"/>
        </w:rPr>
        <w:t>Konzept zur Testung auf SARS- CoV-2</w:t>
      </w:r>
    </w:p>
    <w:p w:rsidR="00E31D35" w:rsidRDefault="00E31D35" w:rsidP="000F54BB">
      <w:pPr>
        <w:jc w:val="center"/>
        <w:rPr>
          <w:rFonts w:ascii="Arial" w:hAnsi="Arial" w:cs="Arial"/>
          <w:b/>
          <w:sz w:val="32"/>
          <w:szCs w:val="32"/>
        </w:rPr>
      </w:pPr>
    </w:p>
    <w:p w:rsidR="00E31D35" w:rsidRDefault="00E31D35" w:rsidP="000F54BB">
      <w:pPr>
        <w:jc w:val="center"/>
        <w:rPr>
          <w:rFonts w:ascii="Arial" w:hAnsi="Arial" w:cs="Arial"/>
          <w:b/>
          <w:sz w:val="32"/>
          <w:szCs w:val="32"/>
        </w:rPr>
      </w:pPr>
      <w:r>
        <w:rPr>
          <w:rFonts w:ascii="Arial" w:hAnsi="Arial" w:cs="Arial"/>
          <w:b/>
          <w:noProof/>
          <w:sz w:val="32"/>
          <w:szCs w:val="32"/>
        </w:rPr>
        <w:drawing>
          <wp:inline distT="0" distB="0" distL="0" distR="0">
            <wp:extent cx="5141913" cy="30099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043" cy="3013489"/>
                    </a:xfrm>
                    <a:prstGeom prst="rect">
                      <a:avLst/>
                    </a:prstGeom>
                    <a:noFill/>
                    <a:ln>
                      <a:noFill/>
                    </a:ln>
                  </pic:spPr>
                </pic:pic>
              </a:graphicData>
            </a:graphic>
          </wp:inline>
        </w:drawing>
      </w:r>
    </w:p>
    <w:p w:rsidR="00E31D35" w:rsidRPr="00E31D35" w:rsidRDefault="00E31D35" w:rsidP="00E31D35">
      <w:pPr>
        <w:jc w:val="center"/>
        <w:rPr>
          <w:rFonts w:ascii="Arial" w:hAnsi="Arial" w:cs="Arial"/>
          <w:b/>
          <w:sz w:val="32"/>
          <w:szCs w:val="32"/>
        </w:rPr>
      </w:pPr>
    </w:p>
    <w:p w:rsidR="00E31D35" w:rsidRPr="00E31D35" w:rsidRDefault="00E31D35" w:rsidP="00E31D35">
      <w:pPr>
        <w:jc w:val="center"/>
        <w:rPr>
          <w:rFonts w:ascii="Arial" w:hAnsi="Arial" w:cs="Arial"/>
          <w:b/>
          <w:sz w:val="28"/>
          <w:szCs w:val="28"/>
        </w:rPr>
      </w:pPr>
      <w:r w:rsidRPr="00E31D35">
        <w:rPr>
          <w:rFonts w:ascii="Arial" w:hAnsi="Arial" w:cs="Arial"/>
          <w:b/>
          <w:sz w:val="28"/>
          <w:szCs w:val="28"/>
        </w:rPr>
        <w:t xml:space="preserve">Artemed Pflegestift „An der </w:t>
      </w:r>
      <w:r w:rsidR="00A87A00" w:rsidRPr="00E31D35">
        <w:rPr>
          <w:rFonts w:ascii="Arial" w:hAnsi="Arial" w:cs="Arial"/>
          <w:b/>
          <w:sz w:val="28"/>
          <w:szCs w:val="28"/>
        </w:rPr>
        <w:t>RODAU“</w:t>
      </w:r>
    </w:p>
    <w:p w:rsidR="00E31D35" w:rsidRPr="00E31D35" w:rsidRDefault="00E31D35" w:rsidP="00E31D35">
      <w:pPr>
        <w:jc w:val="center"/>
        <w:rPr>
          <w:rFonts w:ascii="Arial" w:hAnsi="Arial" w:cs="Arial"/>
          <w:b/>
          <w:sz w:val="28"/>
          <w:szCs w:val="28"/>
        </w:rPr>
      </w:pPr>
    </w:p>
    <w:p w:rsidR="00E31D35" w:rsidRPr="00E31D35" w:rsidRDefault="00E31D35" w:rsidP="00F83E31">
      <w:pPr>
        <w:jc w:val="center"/>
        <w:rPr>
          <w:rFonts w:ascii="Arial" w:hAnsi="Arial" w:cs="Arial"/>
          <w:b/>
          <w:sz w:val="28"/>
          <w:szCs w:val="28"/>
        </w:rPr>
      </w:pPr>
      <w:r w:rsidRPr="00E31D35">
        <w:rPr>
          <w:rFonts w:ascii="Arial" w:hAnsi="Arial" w:cs="Arial"/>
          <w:b/>
          <w:sz w:val="28"/>
          <w:szCs w:val="28"/>
        </w:rPr>
        <w:t>Ober-Rodener-Straße 7, 63322 Rödermark</w:t>
      </w:r>
    </w:p>
    <w:p w:rsidR="00E31D35" w:rsidRP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r w:rsidRPr="00E31D35">
        <w:rPr>
          <w:rFonts w:ascii="Arial" w:hAnsi="Arial" w:cs="Arial"/>
          <w:b/>
          <w:sz w:val="28"/>
          <w:szCs w:val="28"/>
        </w:rPr>
        <w:t xml:space="preserve">Stand: </w:t>
      </w:r>
      <w:r w:rsidR="00203743">
        <w:rPr>
          <w:rFonts w:ascii="Arial" w:hAnsi="Arial" w:cs="Arial"/>
          <w:b/>
          <w:sz w:val="28"/>
          <w:szCs w:val="28"/>
        </w:rPr>
        <w:t>23</w:t>
      </w:r>
      <w:r w:rsidR="00A87A00">
        <w:rPr>
          <w:rFonts w:ascii="Arial" w:hAnsi="Arial" w:cs="Arial"/>
          <w:b/>
          <w:sz w:val="28"/>
          <w:szCs w:val="28"/>
        </w:rPr>
        <w:t>.</w:t>
      </w:r>
      <w:r w:rsidR="00203743">
        <w:rPr>
          <w:rFonts w:ascii="Arial" w:hAnsi="Arial" w:cs="Arial"/>
          <w:b/>
          <w:sz w:val="28"/>
          <w:szCs w:val="28"/>
        </w:rPr>
        <w:t>11</w:t>
      </w:r>
      <w:r w:rsidR="00A87A00">
        <w:rPr>
          <w:rFonts w:ascii="Arial" w:hAnsi="Arial" w:cs="Arial"/>
          <w:b/>
          <w:sz w:val="28"/>
          <w:szCs w:val="28"/>
        </w:rPr>
        <w:t>.2021</w:t>
      </w: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sdt>
      <w:sdtPr>
        <w:rPr>
          <w:rFonts w:asciiTheme="minorHAnsi" w:eastAsiaTheme="minorHAnsi" w:hAnsiTheme="minorHAnsi" w:cstheme="minorBidi"/>
          <w:color w:val="auto"/>
          <w:sz w:val="22"/>
          <w:szCs w:val="22"/>
          <w:lang w:eastAsia="en-US"/>
        </w:rPr>
        <w:id w:val="1167974526"/>
        <w:docPartObj>
          <w:docPartGallery w:val="Table of Contents"/>
          <w:docPartUnique/>
        </w:docPartObj>
      </w:sdtPr>
      <w:sdtEndPr>
        <w:rPr>
          <w:b/>
          <w:bCs/>
        </w:rPr>
      </w:sdtEndPr>
      <w:sdtContent>
        <w:p w:rsidR="00F83E31" w:rsidRDefault="00F83E31">
          <w:pPr>
            <w:pStyle w:val="Inhaltsverzeichnisberschrift"/>
          </w:pPr>
          <w:r>
            <w:t>Inhalt</w:t>
          </w:r>
        </w:p>
        <w:p w:rsidR="00CE7284" w:rsidRDefault="00F83E31">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88571776" w:history="1">
            <w:r w:rsidR="00CE7284" w:rsidRPr="00640D72">
              <w:rPr>
                <w:rStyle w:val="Hyperlink"/>
                <w:noProof/>
              </w:rPr>
              <w:t>1</w:t>
            </w:r>
            <w:r w:rsidR="00CE7284" w:rsidRPr="00640D72">
              <w:rPr>
                <w:rStyle w:val="Hyperlink"/>
                <w:rFonts w:ascii="Arial" w:hAnsi="Arial" w:cs="Arial"/>
                <w:noProof/>
              </w:rPr>
              <w:t>. Einleitung</w:t>
            </w:r>
            <w:r w:rsidR="00CE7284">
              <w:rPr>
                <w:noProof/>
                <w:webHidden/>
              </w:rPr>
              <w:tab/>
            </w:r>
            <w:r w:rsidR="00CE7284">
              <w:rPr>
                <w:noProof/>
                <w:webHidden/>
              </w:rPr>
              <w:fldChar w:fldCharType="begin"/>
            </w:r>
            <w:r w:rsidR="00CE7284">
              <w:rPr>
                <w:noProof/>
                <w:webHidden/>
              </w:rPr>
              <w:instrText xml:space="preserve"> PAGEREF _Toc88571776 \h </w:instrText>
            </w:r>
            <w:r w:rsidR="00CE7284">
              <w:rPr>
                <w:noProof/>
                <w:webHidden/>
              </w:rPr>
            </w:r>
            <w:r w:rsidR="00CE7284">
              <w:rPr>
                <w:noProof/>
                <w:webHidden/>
              </w:rPr>
              <w:fldChar w:fldCharType="separate"/>
            </w:r>
            <w:r w:rsidR="00CE7284">
              <w:rPr>
                <w:noProof/>
                <w:webHidden/>
              </w:rPr>
              <w:t>3</w:t>
            </w:r>
            <w:r w:rsidR="00CE7284">
              <w:rPr>
                <w:noProof/>
                <w:webHidden/>
              </w:rPr>
              <w:fldChar w:fldCharType="end"/>
            </w:r>
          </w:hyperlink>
        </w:p>
        <w:p w:rsidR="00CE7284" w:rsidRDefault="00CE7284">
          <w:pPr>
            <w:pStyle w:val="Verzeichnis1"/>
            <w:tabs>
              <w:tab w:val="right" w:leader="dot" w:pos="9062"/>
            </w:tabs>
            <w:rPr>
              <w:rFonts w:eastAsiaTheme="minorEastAsia"/>
              <w:noProof/>
              <w:lang w:eastAsia="de-DE"/>
            </w:rPr>
          </w:pPr>
          <w:hyperlink w:anchor="_Toc88571777" w:history="1">
            <w:r w:rsidRPr="00640D72">
              <w:rPr>
                <w:rStyle w:val="Hyperlink"/>
                <w:rFonts w:ascii="Arial" w:hAnsi="Arial" w:cs="Arial"/>
                <w:noProof/>
              </w:rPr>
              <w:t>2. Personalauswahl zur Durchführung von PoC-Antigen-Tests</w:t>
            </w:r>
            <w:r>
              <w:rPr>
                <w:noProof/>
                <w:webHidden/>
              </w:rPr>
              <w:tab/>
            </w:r>
            <w:r>
              <w:rPr>
                <w:noProof/>
                <w:webHidden/>
              </w:rPr>
              <w:fldChar w:fldCharType="begin"/>
            </w:r>
            <w:r>
              <w:rPr>
                <w:noProof/>
                <w:webHidden/>
              </w:rPr>
              <w:instrText xml:space="preserve"> PAGEREF _Toc88571777 \h </w:instrText>
            </w:r>
            <w:r>
              <w:rPr>
                <w:noProof/>
                <w:webHidden/>
              </w:rPr>
            </w:r>
            <w:r>
              <w:rPr>
                <w:noProof/>
                <w:webHidden/>
              </w:rPr>
              <w:fldChar w:fldCharType="separate"/>
            </w:r>
            <w:r>
              <w:rPr>
                <w:noProof/>
                <w:webHidden/>
              </w:rPr>
              <w:t>4</w:t>
            </w:r>
            <w:r>
              <w:rPr>
                <w:noProof/>
                <w:webHidden/>
              </w:rPr>
              <w:fldChar w:fldCharType="end"/>
            </w:r>
          </w:hyperlink>
        </w:p>
        <w:p w:rsidR="00CE7284" w:rsidRDefault="00CE7284">
          <w:pPr>
            <w:pStyle w:val="Verzeichnis1"/>
            <w:tabs>
              <w:tab w:val="right" w:leader="dot" w:pos="9062"/>
            </w:tabs>
            <w:rPr>
              <w:rFonts w:eastAsiaTheme="minorEastAsia"/>
              <w:noProof/>
              <w:lang w:eastAsia="de-DE"/>
            </w:rPr>
          </w:pPr>
          <w:hyperlink w:anchor="_Toc88571778" w:history="1">
            <w:r w:rsidRPr="00640D72">
              <w:rPr>
                <w:rStyle w:val="Hyperlink"/>
                <w:rFonts w:ascii="Arial" w:hAnsi="Arial" w:cs="Arial"/>
                <w:noProof/>
              </w:rPr>
              <w:t>3. Infektions- und Arbeitsschutzmaßnahmen zur Anwendung von PoC-Antigen-Tests und Abfallentsorgung</w:t>
            </w:r>
            <w:r>
              <w:rPr>
                <w:noProof/>
                <w:webHidden/>
              </w:rPr>
              <w:tab/>
            </w:r>
            <w:r>
              <w:rPr>
                <w:noProof/>
                <w:webHidden/>
              </w:rPr>
              <w:fldChar w:fldCharType="begin"/>
            </w:r>
            <w:r>
              <w:rPr>
                <w:noProof/>
                <w:webHidden/>
              </w:rPr>
              <w:instrText xml:space="preserve"> PAGEREF _Toc88571778 \h </w:instrText>
            </w:r>
            <w:r>
              <w:rPr>
                <w:noProof/>
                <w:webHidden/>
              </w:rPr>
            </w:r>
            <w:r>
              <w:rPr>
                <w:noProof/>
                <w:webHidden/>
              </w:rPr>
              <w:fldChar w:fldCharType="separate"/>
            </w:r>
            <w:r>
              <w:rPr>
                <w:noProof/>
                <w:webHidden/>
              </w:rPr>
              <w:t>5</w:t>
            </w:r>
            <w:r>
              <w:rPr>
                <w:noProof/>
                <w:webHidden/>
              </w:rPr>
              <w:fldChar w:fldCharType="end"/>
            </w:r>
          </w:hyperlink>
        </w:p>
        <w:p w:rsidR="00CE7284" w:rsidRDefault="00CE7284">
          <w:pPr>
            <w:pStyle w:val="Verzeichnis1"/>
            <w:tabs>
              <w:tab w:val="right" w:leader="dot" w:pos="9062"/>
            </w:tabs>
            <w:rPr>
              <w:rFonts w:eastAsiaTheme="minorEastAsia"/>
              <w:noProof/>
              <w:lang w:eastAsia="de-DE"/>
            </w:rPr>
          </w:pPr>
          <w:hyperlink w:anchor="_Toc88571779" w:history="1">
            <w:r w:rsidRPr="00640D72">
              <w:rPr>
                <w:rStyle w:val="Hyperlink"/>
                <w:rFonts w:ascii="Arial" w:hAnsi="Arial" w:cs="Arial"/>
                <w:noProof/>
              </w:rPr>
              <w:t>4. Testfrequenz, Zeitdauer der Testdurchführung von PoC-Antigen-Tests und die Räumlichkeiten</w:t>
            </w:r>
            <w:r>
              <w:rPr>
                <w:noProof/>
                <w:webHidden/>
              </w:rPr>
              <w:tab/>
            </w:r>
            <w:r>
              <w:rPr>
                <w:noProof/>
                <w:webHidden/>
              </w:rPr>
              <w:fldChar w:fldCharType="begin"/>
            </w:r>
            <w:r>
              <w:rPr>
                <w:noProof/>
                <w:webHidden/>
              </w:rPr>
              <w:instrText xml:space="preserve"> PAGEREF _Toc88571779 \h </w:instrText>
            </w:r>
            <w:r>
              <w:rPr>
                <w:noProof/>
                <w:webHidden/>
              </w:rPr>
            </w:r>
            <w:r>
              <w:rPr>
                <w:noProof/>
                <w:webHidden/>
              </w:rPr>
              <w:fldChar w:fldCharType="separate"/>
            </w:r>
            <w:r>
              <w:rPr>
                <w:noProof/>
                <w:webHidden/>
              </w:rPr>
              <w:t>6</w:t>
            </w:r>
            <w:r>
              <w:rPr>
                <w:noProof/>
                <w:webHidden/>
              </w:rPr>
              <w:fldChar w:fldCharType="end"/>
            </w:r>
          </w:hyperlink>
        </w:p>
        <w:p w:rsidR="00CE7284" w:rsidRDefault="00CE7284">
          <w:pPr>
            <w:pStyle w:val="Verzeichnis1"/>
            <w:tabs>
              <w:tab w:val="right" w:leader="dot" w:pos="9062"/>
            </w:tabs>
            <w:rPr>
              <w:rFonts w:eastAsiaTheme="minorEastAsia"/>
              <w:noProof/>
              <w:lang w:eastAsia="de-DE"/>
            </w:rPr>
          </w:pPr>
          <w:hyperlink w:anchor="_Toc88571780" w:history="1">
            <w:r w:rsidRPr="00640D72">
              <w:rPr>
                <w:rStyle w:val="Hyperlink"/>
                <w:rFonts w:ascii="Arial" w:hAnsi="Arial" w:cs="Arial"/>
                <w:noProof/>
              </w:rPr>
              <w:t>5. Dokumentation und Umgang mit positiven PoC-Antigen-Tests Ergebnissen</w:t>
            </w:r>
            <w:r>
              <w:rPr>
                <w:noProof/>
                <w:webHidden/>
              </w:rPr>
              <w:tab/>
            </w:r>
            <w:r>
              <w:rPr>
                <w:noProof/>
                <w:webHidden/>
              </w:rPr>
              <w:fldChar w:fldCharType="begin"/>
            </w:r>
            <w:r>
              <w:rPr>
                <w:noProof/>
                <w:webHidden/>
              </w:rPr>
              <w:instrText xml:space="preserve"> PAGEREF _Toc88571780 \h </w:instrText>
            </w:r>
            <w:r>
              <w:rPr>
                <w:noProof/>
                <w:webHidden/>
              </w:rPr>
            </w:r>
            <w:r>
              <w:rPr>
                <w:noProof/>
                <w:webHidden/>
              </w:rPr>
              <w:fldChar w:fldCharType="separate"/>
            </w:r>
            <w:r>
              <w:rPr>
                <w:noProof/>
                <w:webHidden/>
              </w:rPr>
              <w:t>7</w:t>
            </w:r>
            <w:r>
              <w:rPr>
                <w:noProof/>
                <w:webHidden/>
              </w:rPr>
              <w:fldChar w:fldCharType="end"/>
            </w:r>
          </w:hyperlink>
        </w:p>
        <w:p w:rsidR="00CE7284" w:rsidRDefault="00CE7284">
          <w:pPr>
            <w:pStyle w:val="Verzeichnis1"/>
            <w:tabs>
              <w:tab w:val="right" w:leader="dot" w:pos="9062"/>
            </w:tabs>
            <w:rPr>
              <w:rFonts w:eastAsiaTheme="minorEastAsia"/>
              <w:noProof/>
              <w:lang w:eastAsia="de-DE"/>
            </w:rPr>
          </w:pPr>
          <w:hyperlink w:anchor="_Toc88571781" w:history="1">
            <w:r w:rsidRPr="00640D72">
              <w:rPr>
                <w:rStyle w:val="Hyperlink"/>
                <w:rFonts w:ascii="Arial" w:hAnsi="Arial" w:cs="Arial"/>
                <w:noProof/>
              </w:rPr>
              <w:t>6. Übermittlungspflichten</w:t>
            </w:r>
            <w:r>
              <w:rPr>
                <w:noProof/>
                <w:webHidden/>
              </w:rPr>
              <w:tab/>
            </w:r>
            <w:r>
              <w:rPr>
                <w:noProof/>
                <w:webHidden/>
              </w:rPr>
              <w:fldChar w:fldCharType="begin"/>
            </w:r>
            <w:r>
              <w:rPr>
                <w:noProof/>
                <w:webHidden/>
              </w:rPr>
              <w:instrText xml:space="preserve"> PAGEREF _Toc88571781 \h </w:instrText>
            </w:r>
            <w:r>
              <w:rPr>
                <w:noProof/>
                <w:webHidden/>
              </w:rPr>
            </w:r>
            <w:r>
              <w:rPr>
                <w:noProof/>
                <w:webHidden/>
              </w:rPr>
              <w:fldChar w:fldCharType="separate"/>
            </w:r>
            <w:r>
              <w:rPr>
                <w:noProof/>
                <w:webHidden/>
              </w:rPr>
              <w:t>7</w:t>
            </w:r>
            <w:r>
              <w:rPr>
                <w:noProof/>
                <w:webHidden/>
              </w:rPr>
              <w:fldChar w:fldCharType="end"/>
            </w:r>
          </w:hyperlink>
        </w:p>
        <w:p w:rsidR="00F83E31" w:rsidRDefault="00F83E31">
          <w:r>
            <w:rPr>
              <w:b/>
              <w:bCs/>
            </w:rPr>
            <w:fldChar w:fldCharType="end"/>
          </w:r>
        </w:p>
      </w:sdtContent>
    </w:sdt>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E31D35" w:rsidRDefault="00E31D35" w:rsidP="00E31D35">
      <w:pPr>
        <w:jc w:val="center"/>
        <w:rPr>
          <w:rFonts w:ascii="Arial" w:hAnsi="Arial" w:cs="Arial"/>
          <w:b/>
          <w:sz w:val="28"/>
          <w:szCs w:val="28"/>
        </w:rPr>
      </w:pPr>
    </w:p>
    <w:p w:rsidR="00F83E31" w:rsidRDefault="00F83E31" w:rsidP="00F83E31">
      <w:pPr>
        <w:rPr>
          <w:rFonts w:ascii="Arial" w:hAnsi="Arial" w:cs="Arial"/>
          <w:b/>
          <w:sz w:val="28"/>
          <w:szCs w:val="28"/>
        </w:rPr>
      </w:pPr>
    </w:p>
    <w:p w:rsidR="00F83E31" w:rsidRDefault="00F83E31" w:rsidP="00F83E31">
      <w:pPr>
        <w:rPr>
          <w:rFonts w:ascii="Arial" w:hAnsi="Arial" w:cs="Arial"/>
          <w:b/>
          <w:sz w:val="28"/>
          <w:szCs w:val="28"/>
        </w:rPr>
      </w:pPr>
    </w:p>
    <w:p w:rsidR="00E31D35" w:rsidRDefault="00E31D35" w:rsidP="00E31D35">
      <w:pPr>
        <w:jc w:val="center"/>
        <w:rPr>
          <w:rFonts w:ascii="Arial" w:hAnsi="Arial" w:cs="Arial"/>
          <w:b/>
          <w:sz w:val="28"/>
          <w:szCs w:val="28"/>
        </w:rPr>
      </w:pPr>
    </w:p>
    <w:p w:rsidR="00E31D35" w:rsidRPr="00E45DAF" w:rsidRDefault="00F83E31" w:rsidP="00F83E31">
      <w:pPr>
        <w:pStyle w:val="berschrift1"/>
        <w:rPr>
          <w:rFonts w:ascii="Arial" w:hAnsi="Arial" w:cs="Arial"/>
        </w:rPr>
      </w:pPr>
      <w:bookmarkStart w:id="0" w:name="_Toc88571776"/>
      <w:r w:rsidRPr="00F83E31">
        <w:t>1</w:t>
      </w:r>
      <w:r w:rsidRPr="00E45DAF">
        <w:rPr>
          <w:rFonts w:ascii="Arial" w:hAnsi="Arial" w:cs="Arial"/>
        </w:rPr>
        <w:t xml:space="preserve">. </w:t>
      </w:r>
      <w:r w:rsidR="00E31D35" w:rsidRPr="00E45DAF">
        <w:rPr>
          <w:rFonts w:ascii="Arial" w:hAnsi="Arial" w:cs="Arial"/>
        </w:rPr>
        <w:t>Einleitung</w:t>
      </w:r>
      <w:bookmarkEnd w:id="0"/>
    </w:p>
    <w:p w:rsidR="00E31D35" w:rsidRPr="00E45DAF" w:rsidRDefault="00E31D35" w:rsidP="00E31D35">
      <w:pPr>
        <w:rPr>
          <w:rFonts w:ascii="Arial" w:hAnsi="Arial" w:cs="Arial"/>
          <w:b/>
          <w:sz w:val="28"/>
          <w:szCs w:val="28"/>
        </w:rPr>
      </w:pPr>
    </w:p>
    <w:p w:rsidR="00E31D35" w:rsidRPr="00E45DAF" w:rsidRDefault="00E31D35" w:rsidP="00E31D35">
      <w:pPr>
        <w:rPr>
          <w:rFonts w:ascii="Arial" w:hAnsi="Arial" w:cs="Arial"/>
          <w:sz w:val="24"/>
          <w:szCs w:val="24"/>
        </w:rPr>
      </w:pPr>
      <w:r w:rsidRPr="00E45DAF">
        <w:rPr>
          <w:rFonts w:ascii="Arial" w:hAnsi="Arial" w:cs="Arial"/>
          <w:sz w:val="24"/>
          <w:szCs w:val="24"/>
        </w:rPr>
        <w:t>Die „Verordnung zum Anspruch auf Testung</w:t>
      </w:r>
      <w:r w:rsidR="00E45DAF" w:rsidRPr="00E45DAF">
        <w:rPr>
          <w:rFonts w:ascii="Arial" w:hAnsi="Arial" w:cs="Arial"/>
          <w:sz w:val="24"/>
          <w:szCs w:val="24"/>
        </w:rPr>
        <w:t>“</w:t>
      </w:r>
      <w:r w:rsidRPr="00E45DAF">
        <w:rPr>
          <w:rFonts w:ascii="Arial" w:hAnsi="Arial" w:cs="Arial"/>
          <w:sz w:val="24"/>
          <w:szCs w:val="24"/>
        </w:rPr>
        <w:t xml:space="preserve"> in Bezug auf einen direkten Erregernachweis des Coronavirus SARS-CoV-2 (Coronavirus-Testverordnung – TestV), die am 15.Oktober 2020 in Kraft getreten ist,</w:t>
      </w:r>
      <w:r w:rsidR="001516C0">
        <w:rPr>
          <w:rFonts w:ascii="Arial" w:hAnsi="Arial" w:cs="Arial"/>
          <w:sz w:val="24"/>
          <w:szCs w:val="24"/>
        </w:rPr>
        <w:t xml:space="preserve"> </w:t>
      </w:r>
      <w:r w:rsidR="001516C0" w:rsidRPr="003D2DAC">
        <w:rPr>
          <w:rFonts w:ascii="Arial" w:hAnsi="Arial" w:cs="Arial"/>
          <w:color w:val="000000" w:themeColor="text1"/>
          <w:sz w:val="24"/>
          <w:szCs w:val="24"/>
        </w:rPr>
        <w:t>Aktualisierung 15.1.2021</w:t>
      </w:r>
      <w:r w:rsidRPr="003D2DAC">
        <w:rPr>
          <w:rFonts w:ascii="Arial" w:hAnsi="Arial" w:cs="Arial"/>
          <w:color w:val="000000" w:themeColor="text1"/>
          <w:sz w:val="24"/>
          <w:szCs w:val="24"/>
        </w:rPr>
        <w:t xml:space="preserve"> </w:t>
      </w:r>
      <w:r w:rsidRPr="00E45DAF">
        <w:rPr>
          <w:rFonts w:ascii="Arial" w:hAnsi="Arial" w:cs="Arial"/>
          <w:sz w:val="24"/>
          <w:szCs w:val="24"/>
        </w:rPr>
        <w:t xml:space="preserve">sieht u.a. vor, dass zugelassene ambulante und stationäre Pflegeeinrichtungen </w:t>
      </w:r>
      <w:r w:rsidR="001516C0">
        <w:rPr>
          <w:rFonts w:ascii="Arial" w:hAnsi="Arial" w:cs="Arial"/>
          <w:sz w:val="24"/>
          <w:szCs w:val="24"/>
        </w:rPr>
        <w:t xml:space="preserve">Test </w:t>
      </w:r>
      <w:r w:rsidR="006A5520" w:rsidRPr="00E45DAF">
        <w:rPr>
          <w:rFonts w:ascii="Arial" w:hAnsi="Arial" w:cs="Arial"/>
          <w:sz w:val="24"/>
          <w:szCs w:val="24"/>
        </w:rPr>
        <w:t>durchführen können</w:t>
      </w:r>
      <w:r w:rsidRPr="00E45DAF">
        <w:rPr>
          <w:rFonts w:ascii="Arial" w:hAnsi="Arial" w:cs="Arial"/>
          <w:sz w:val="24"/>
          <w:szCs w:val="24"/>
        </w:rPr>
        <w:t>. Die PoC-Antigen-Tests sollen von</w:t>
      </w:r>
      <w:r w:rsidR="006A5520" w:rsidRPr="00E45DAF">
        <w:rPr>
          <w:rFonts w:ascii="Arial" w:hAnsi="Arial" w:cs="Arial"/>
          <w:sz w:val="24"/>
          <w:szCs w:val="24"/>
        </w:rPr>
        <w:t xml:space="preserve"> </w:t>
      </w:r>
      <w:r w:rsidRPr="00E45DAF">
        <w:rPr>
          <w:rFonts w:ascii="Arial" w:hAnsi="Arial" w:cs="Arial"/>
          <w:sz w:val="24"/>
          <w:szCs w:val="24"/>
        </w:rPr>
        <w:t>den Einrichtungen eingesetzt werden für die Testung von Personen</w:t>
      </w:r>
      <w:r w:rsidR="006A5520" w:rsidRPr="00E45DAF">
        <w:rPr>
          <w:rFonts w:ascii="Arial" w:hAnsi="Arial" w:cs="Arial"/>
          <w:sz w:val="24"/>
          <w:szCs w:val="24"/>
        </w:rPr>
        <w:t>:</w:t>
      </w:r>
    </w:p>
    <w:p w:rsidR="00E31D35" w:rsidRPr="00E45DAF" w:rsidRDefault="00E31D35" w:rsidP="00E31D35">
      <w:pPr>
        <w:rPr>
          <w:rFonts w:ascii="Arial" w:hAnsi="Arial" w:cs="Arial"/>
          <w:sz w:val="24"/>
          <w:szCs w:val="24"/>
        </w:rPr>
      </w:pPr>
      <w:r w:rsidRPr="00E45DAF">
        <w:rPr>
          <w:rFonts w:ascii="Arial" w:hAnsi="Arial" w:cs="Arial"/>
          <w:sz w:val="24"/>
          <w:szCs w:val="24"/>
        </w:rPr>
        <w:t>• die dort tätig sind</w:t>
      </w:r>
    </w:p>
    <w:p w:rsidR="00E31D35" w:rsidRPr="00E45DAF" w:rsidRDefault="00E31D35" w:rsidP="00E31D35">
      <w:pPr>
        <w:rPr>
          <w:rFonts w:ascii="Arial" w:hAnsi="Arial" w:cs="Arial"/>
          <w:sz w:val="24"/>
          <w:szCs w:val="24"/>
        </w:rPr>
      </w:pPr>
      <w:r w:rsidRPr="00E45DAF">
        <w:rPr>
          <w:rFonts w:ascii="Arial" w:hAnsi="Arial" w:cs="Arial"/>
          <w:sz w:val="24"/>
          <w:szCs w:val="24"/>
        </w:rPr>
        <w:t xml:space="preserve">• die </w:t>
      </w:r>
      <w:r w:rsidR="00E45DAF">
        <w:rPr>
          <w:rFonts w:ascii="Arial" w:hAnsi="Arial" w:cs="Arial"/>
          <w:sz w:val="24"/>
          <w:szCs w:val="24"/>
        </w:rPr>
        <w:t>Bewohner</w:t>
      </w:r>
      <w:r w:rsidRPr="00E45DAF">
        <w:rPr>
          <w:rFonts w:ascii="Arial" w:hAnsi="Arial" w:cs="Arial"/>
          <w:sz w:val="24"/>
          <w:szCs w:val="24"/>
        </w:rPr>
        <w:t xml:space="preserve"> oder</w:t>
      </w:r>
    </w:p>
    <w:p w:rsidR="00E31D35" w:rsidRPr="00E45DAF" w:rsidRDefault="00E31D35" w:rsidP="00E31D35">
      <w:pPr>
        <w:rPr>
          <w:rFonts w:ascii="Arial" w:hAnsi="Arial" w:cs="Arial"/>
          <w:sz w:val="24"/>
          <w:szCs w:val="24"/>
        </w:rPr>
      </w:pPr>
      <w:r w:rsidRPr="00E45DAF">
        <w:rPr>
          <w:rFonts w:ascii="Arial" w:hAnsi="Arial" w:cs="Arial"/>
          <w:sz w:val="24"/>
          <w:szCs w:val="24"/>
        </w:rPr>
        <w:t>• die als Besuchsperson eine stationäre Pflegeeinrichtung betreten wollen.</w:t>
      </w:r>
    </w:p>
    <w:p w:rsidR="006A5520" w:rsidRPr="00E45DAF" w:rsidRDefault="006A5520" w:rsidP="00E31D35">
      <w:pPr>
        <w:rPr>
          <w:rFonts w:ascii="Arial" w:hAnsi="Arial" w:cs="Arial"/>
          <w:color w:val="FF0000"/>
          <w:sz w:val="24"/>
          <w:szCs w:val="24"/>
        </w:rPr>
      </w:pPr>
    </w:p>
    <w:p w:rsidR="006A5520" w:rsidRPr="00A37AD6" w:rsidRDefault="006A5520" w:rsidP="006A5520">
      <w:pPr>
        <w:rPr>
          <w:rFonts w:ascii="Arial" w:hAnsi="Arial" w:cs="Arial"/>
          <w:sz w:val="24"/>
          <w:szCs w:val="24"/>
        </w:rPr>
      </w:pPr>
      <w:r w:rsidRPr="00A37AD6">
        <w:rPr>
          <w:rFonts w:ascii="Arial" w:hAnsi="Arial" w:cs="Arial"/>
          <w:sz w:val="24"/>
          <w:szCs w:val="24"/>
        </w:rPr>
        <w:t>Liegen etwa bei einer Person Krankheitszeichen vor, die auf COVID-19 hinweisen, besteht ein Anspruch auf PCR-Testung im Rahmen der Krankenbehandlung. Nach der Coronavirus</w:t>
      </w:r>
      <w:r w:rsidR="00A87A00">
        <w:rPr>
          <w:rFonts w:ascii="Arial" w:hAnsi="Arial" w:cs="Arial"/>
          <w:sz w:val="24"/>
          <w:szCs w:val="24"/>
        </w:rPr>
        <w:t xml:space="preserve"> </w:t>
      </w:r>
      <w:r w:rsidRPr="00A37AD6">
        <w:rPr>
          <w:rFonts w:ascii="Arial" w:hAnsi="Arial" w:cs="Arial"/>
          <w:sz w:val="24"/>
          <w:szCs w:val="24"/>
        </w:rPr>
        <w:t xml:space="preserve">Testverordnung besteht dieser Anspruch auch für asymptomatische Personen, wenn </w:t>
      </w:r>
      <w:r w:rsidR="00F83E31" w:rsidRPr="00A37AD6">
        <w:rPr>
          <w:rFonts w:ascii="Arial" w:hAnsi="Arial" w:cs="Arial"/>
          <w:sz w:val="24"/>
          <w:szCs w:val="24"/>
        </w:rPr>
        <w:t>dieser Kontakt</w:t>
      </w:r>
      <w:r w:rsidRPr="00A37AD6">
        <w:rPr>
          <w:rFonts w:ascii="Arial" w:hAnsi="Arial" w:cs="Arial"/>
          <w:sz w:val="24"/>
          <w:szCs w:val="24"/>
        </w:rPr>
        <w:t xml:space="preserve"> zu einer nachweislich mit SARS-CoV-2 infizierten Person hatten.</w:t>
      </w:r>
    </w:p>
    <w:p w:rsidR="00F83E31" w:rsidRPr="00E45DAF" w:rsidRDefault="00F83E31" w:rsidP="00F83E31">
      <w:pPr>
        <w:rPr>
          <w:rFonts w:ascii="Arial" w:hAnsi="Arial" w:cs="Arial"/>
          <w:sz w:val="24"/>
          <w:szCs w:val="24"/>
        </w:rPr>
      </w:pPr>
      <w:r w:rsidRPr="00E45DAF">
        <w:rPr>
          <w:rFonts w:ascii="Arial" w:hAnsi="Arial" w:cs="Arial"/>
          <w:sz w:val="24"/>
          <w:szCs w:val="24"/>
        </w:rPr>
        <w:t>In der Verordnung werden zwei verschiedene Testtypen unterschieden.</w:t>
      </w:r>
    </w:p>
    <w:p w:rsidR="00F83E31" w:rsidRPr="00E45DAF" w:rsidRDefault="00F83E31" w:rsidP="00F83E31">
      <w:pPr>
        <w:rPr>
          <w:rFonts w:ascii="Arial" w:hAnsi="Arial" w:cs="Arial"/>
          <w:sz w:val="24"/>
          <w:szCs w:val="24"/>
        </w:rPr>
      </w:pPr>
      <w:r w:rsidRPr="00E45DAF">
        <w:rPr>
          <w:rFonts w:ascii="Arial" w:hAnsi="Arial" w:cs="Arial"/>
          <w:sz w:val="24"/>
          <w:szCs w:val="24"/>
        </w:rPr>
        <w:t>• PCR-Tests: PCR-Tests sind die bisher genutzten und bekannten Tests. Sie werden von Gesundheitsämtern, Arztpraxen und Testzentren durchgeführt. Sie sind in ihrer Aussagefähigkeit empfindlich und genau, haben jedoch den Nachteil, dass die Testanalyse in einem Labor vorgenommen werden muss und Untersuchungsergebnisse oft erst nach mehreren Tagen vorliegen.</w:t>
      </w:r>
    </w:p>
    <w:p w:rsidR="00F83E31" w:rsidRPr="00E45DAF" w:rsidRDefault="00F83E31" w:rsidP="00F83E31">
      <w:pPr>
        <w:rPr>
          <w:rFonts w:ascii="Arial" w:hAnsi="Arial" w:cs="Arial"/>
          <w:sz w:val="24"/>
          <w:szCs w:val="24"/>
        </w:rPr>
      </w:pPr>
      <w:r w:rsidRPr="00E45DAF">
        <w:rPr>
          <w:rFonts w:ascii="Arial" w:hAnsi="Arial" w:cs="Arial"/>
          <w:sz w:val="24"/>
          <w:szCs w:val="24"/>
        </w:rPr>
        <w:t xml:space="preserve">• PoC-Antigen-Tests („Schnelltest“): Antigentests können innerhalb von wenigen Mi-nuten eine akute Infektion mit SARS-CoV-2 aus einem Abstrich identifizieren. Sie </w:t>
      </w:r>
      <w:r w:rsidRPr="00E45DAF">
        <w:rPr>
          <w:rFonts w:ascii="Arial" w:hAnsi="Arial" w:cs="Arial"/>
          <w:sz w:val="24"/>
          <w:szCs w:val="24"/>
        </w:rPr>
        <w:lastRenderedPageBreak/>
        <w:t>weisen eine Infektion allerdings nicht so zuverlässig nach wie ein PCR-Test und werden daher nur ergänzend genutzt. Ein positives Testergebnis muss im Anschluss per PCR-Test überprüft werden. Die Tests können am Versorgungsort („Point of Care – PoC“) durchgeführt und ausgewertet werden.</w:t>
      </w:r>
    </w:p>
    <w:p w:rsidR="00F83E31" w:rsidRDefault="006A5520" w:rsidP="006A5520">
      <w:pPr>
        <w:rPr>
          <w:rFonts w:ascii="Arial" w:hAnsi="Arial" w:cs="Arial"/>
          <w:sz w:val="24"/>
          <w:szCs w:val="24"/>
        </w:rPr>
      </w:pPr>
      <w:r w:rsidRPr="00E45DAF">
        <w:rPr>
          <w:rFonts w:ascii="Arial" w:hAnsi="Arial" w:cs="Arial"/>
          <w:sz w:val="24"/>
          <w:szCs w:val="24"/>
        </w:rPr>
        <w:t>Ausdrücklich ist darauf hinzuweisen, dass Tests nur einen Teil der Maßnahmen darstellen, die in den Einrichtungen und von jedem Einzelnen, seien es Beschäftigte, Pflegebedürftige oder Besucherinnen, beachtet werden müssen.</w:t>
      </w:r>
    </w:p>
    <w:p w:rsidR="003907B8" w:rsidRPr="00E45DAF" w:rsidRDefault="003907B8" w:rsidP="006A5520">
      <w:pPr>
        <w:rPr>
          <w:rFonts w:ascii="Arial" w:hAnsi="Arial" w:cs="Arial"/>
          <w:sz w:val="24"/>
          <w:szCs w:val="24"/>
        </w:rPr>
      </w:pPr>
    </w:p>
    <w:p w:rsidR="006A5520" w:rsidRPr="00E45DAF" w:rsidRDefault="006A5520" w:rsidP="006A5520">
      <w:pPr>
        <w:rPr>
          <w:rFonts w:ascii="Arial" w:hAnsi="Arial" w:cs="Arial"/>
          <w:b/>
          <w:color w:val="4F81BD" w:themeColor="accent1"/>
          <w:sz w:val="24"/>
          <w:szCs w:val="24"/>
        </w:rPr>
      </w:pPr>
      <w:r w:rsidRPr="00E45DAF">
        <w:rPr>
          <w:rFonts w:ascii="Arial" w:hAnsi="Arial" w:cs="Arial"/>
          <w:b/>
          <w:color w:val="4F81BD" w:themeColor="accent1"/>
          <w:sz w:val="24"/>
          <w:szCs w:val="24"/>
        </w:rPr>
        <w:t>Die AHA+L-Regeln sind und bleiben eine wichtige Handlungsgrundlage:</w:t>
      </w:r>
    </w:p>
    <w:p w:rsidR="006A5520" w:rsidRPr="00E45DAF" w:rsidRDefault="006A5520" w:rsidP="006A5520">
      <w:pPr>
        <w:rPr>
          <w:rFonts w:ascii="Arial" w:hAnsi="Arial" w:cs="Arial"/>
          <w:b/>
          <w:color w:val="4F81BD" w:themeColor="accent1"/>
          <w:sz w:val="24"/>
          <w:szCs w:val="24"/>
        </w:rPr>
      </w:pPr>
      <w:r w:rsidRPr="00E45DAF">
        <w:rPr>
          <w:rFonts w:ascii="Arial" w:hAnsi="Arial" w:cs="Arial"/>
          <w:b/>
          <w:color w:val="4F81BD" w:themeColor="accent1"/>
          <w:sz w:val="24"/>
          <w:szCs w:val="24"/>
        </w:rPr>
        <w:t>• Abstand</w:t>
      </w:r>
    </w:p>
    <w:p w:rsidR="006A5520" w:rsidRPr="00E45DAF" w:rsidRDefault="006A5520" w:rsidP="006A5520">
      <w:pPr>
        <w:rPr>
          <w:rFonts w:ascii="Arial" w:hAnsi="Arial" w:cs="Arial"/>
          <w:b/>
          <w:color w:val="4F81BD" w:themeColor="accent1"/>
          <w:sz w:val="24"/>
          <w:szCs w:val="24"/>
        </w:rPr>
      </w:pPr>
      <w:r w:rsidRPr="00E45DAF">
        <w:rPr>
          <w:rFonts w:ascii="Arial" w:hAnsi="Arial" w:cs="Arial"/>
          <w:b/>
          <w:color w:val="4F81BD" w:themeColor="accent1"/>
          <w:sz w:val="24"/>
          <w:szCs w:val="24"/>
        </w:rPr>
        <w:t>• Hygiene</w:t>
      </w:r>
    </w:p>
    <w:p w:rsidR="006A5520" w:rsidRPr="00E45DAF" w:rsidRDefault="006A5520" w:rsidP="006A5520">
      <w:pPr>
        <w:rPr>
          <w:rFonts w:ascii="Arial" w:hAnsi="Arial" w:cs="Arial"/>
          <w:b/>
          <w:color w:val="4F81BD" w:themeColor="accent1"/>
          <w:sz w:val="24"/>
          <w:szCs w:val="24"/>
        </w:rPr>
      </w:pPr>
      <w:r w:rsidRPr="00E45DAF">
        <w:rPr>
          <w:rFonts w:ascii="Arial" w:hAnsi="Arial" w:cs="Arial"/>
          <w:b/>
          <w:color w:val="4F81BD" w:themeColor="accent1"/>
          <w:sz w:val="24"/>
          <w:szCs w:val="24"/>
        </w:rPr>
        <w:t>• Alltagsmasken (Alltagsmasken im Alltag, Mund-Nasen-Schutz bzw.</w:t>
      </w:r>
    </w:p>
    <w:p w:rsidR="006A5520" w:rsidRPr="00E45DAF" w:rsidRDefault="006A5520" w:rsidP="006A5520">
      <w:pPr>
        <w:rPr>
          <w:rFonts w:ascii="Arial" w:hAnsi="Arial" w:cs="Arial"/>
          <w:b/>
          <w:color w:val="4F81BD" w:themeColor="accent1"/>
          <w:sz w:val="24"/>
          <w:szCs w:val="24"/>
        </w:rPr>
      </w:pPr>
      <w:r w:rsidRPr="00E45DAF">
        <w:rPr>
          <w:rFonts w:ascii="Arial" w:hAnsi="Arial" w:cs="Arial"/>
          <w:b/>
          <w:color w:val="4F81BD" w:themeColor="accent1"/>
          <w:sz w:val="24"/>
          <w:szCs w:val="24"/>
        </w:rPr>
        <w:t xml:space="preserve"> FFP2 oder vergleichbare Atemschutzmasken am Arbeitsplatz)</w:t>
      </w:r>
    </w:p>
    <w:p w:rsidR="006A5520" w:rsidRPr="00E45DAF" w:rsidRDefault="006A5520" w:rsidP="006A5520">
      <w:pPr>
        <w:rPr>
          <w:rFonts w:ascii="Arial" w:hAnsi="Arial" w:cs="Arial"/>
          <w:b/>
          <w:color w:val="4F81BD" w:themeColor="accent1"/>
          <w:sz w:val="24"/>
          <w:szCs w:val="24"/>
        </w:rPr>
      </w:pPr>
      <w:r w:rsidRPr="00E45DAF">
        <w:rPr>
          <w:rFonts w:ascii="Arial" w:hAnsi="Arial" w:cs="Arial"/>
          <w:b/>
          <w:color w:val="4F81BD" w:themeColor="accent1"/>
          <w:sz w:val="24"/>
          <w:szCs w:val="24"/>
        </w:rPr>
        <w:t>• + Lüften</w:t>
      </w:r>
    </w:p>
    <w:p w:rsidR="006A5520" w:rsidRPr="00E45DAF" w:rsidRDefault="006A5520" w:rsidP="006A5520">
      <w:pPr>
        <w:rPr>
          <w:rFonts w:ascii="Arial" w:hAnsi="Arial" w:cs="Arial"/>
          <w:sz w:val="24"/>
          <w:szCs w:val="24"/>
        </w:rPr>
      </w:pPr>
      <w:r w:rsidRPr="00E45DAF">
        <w:rPr>
          <w:rFonts w:ascii="Arial" w:hAnsi="Arial" w:cs="Arial"/>
          <w:sz w:val="24"/>
          <w:szCs w:val="24"/>
        </w:rPr>
        <w:t>Auch ein negatives Testergebnis darf nicht dazu verleiten, diese Regeln nicht mehr konsequent einzuhalten!</w:t>
      </w:r>
    </w:p>
    <w:p w:rsidR="006A5520" w:rsidRPr="00E45DAF" w:rsidRDefault="006A5520" w:rsidP="006A5520">
      <w:pPr>
        <w:rPr>
          <w:rFonts w:ascii="Arial" w:hAnsi="Arial" w:cs="Arial"/>
          <w:sz w:val="24"/>
          <w:szCs w:val="24"/>
        </w:rPr>
      </w:pPr>
      <w:r w:rsidRPr="00E45DAF">
        <w:rPr>
          <w:rFonts w:ascii="Arial" w:hAnsi="Arial" w:cs="Arial"/>
          <w:sz w:val="24"/>
          <w:szCs w:val="24"/>
        </w:rPr>
        <w:t xml:space="preserve">Unsere Pflegeeinrichtung möchte, trotz weiterhin bestehender Infektionsgefahr durch COVID 19, unseren Bewohnerinnen und Bewohnern ermöglichen, wieder ausreichend soziale Kontakte zu haben, sowie eine Lebensqualität, wie in der Zeit vor der aktuellen Pandemie. Mit diesem Konzept werden Regeln aufgestellt, die die Gesundheit unsere Bewohner und Mitarbeiter schützen und </w:t>
      </w:r>
      <w:proofErr w:type="gramStart"/>
      <w:r w:rsidR="00F83E31" w:rsidRPr="00E45DAF">
        <w:rPr>
          <w:rFonts w:ascii="Arial" w:hAnsi="Arial" w:cs="Arial"/>
          <w:sz w:val="24"/>
          <w:szCs w:val="24"/>
        </w:rPr>
        <w:t>gleiche</w:t>
      </w:r>
      <w:r w:rsidR="000F3B0F">
        <w:rPr>
          <w:rFonts w:ascii="Arial" w:hAnsi="Arial" w:cs="Arial"/>
          <w:sz w:val="24"/>
          <w:szCs w:val="24"/>
        </w:rPr>
        <w:t>r</w:t>
      </w:r>
      <w:r w:rsidR="00F83E31" w:rsidRPr="00E45DAF">
        <w:rPr>
          <w:rFonts w:ascii="Arial" w:hAnsi="Arial" w:cs="Arial"/>
          <w:sz w:val="24"/>
          <w:szCs w:val="24"/>
        </w:rPr>
        <w:t xml:space="preserve"> Maßen</w:t>
      </w:r>
      <w:proofErr w:type="gramEnd"/>
      <w:r w:rsidRPr="00E45DAF">
        <w:rPr>
          <w:rFonts w:ascii="Arial" w:hAnsi="Arial" w:cs="Arial"/>
          <w:sz w:val="24"/>
          <w:szCs w:val="24"/>
        </w:rPr>
        <w:t xml:space="preserve"> die Infektionsgefahr minimieren.</w:t>
      </w:r>
    </w:p>
    <w:p w:rsidR="00F83E31" w:rsidRPr="00E45DAF" w:rsidRDefault="00F83E31" w:rsidP="006A5520">
      <w:pPr>
        <w:rPr>
          <w:rFonts w:ascii="Arial" w:hAnsi="Arial" w:cs="Arial"/>
          <w:sz w:val="24"/>
          <w:szCs w:val="24"/>
        </w:rPr>
      </w:pPr>
    </w:p>
    <w:p w:rsidR="006A5520" w:rsidRPr="00E45DAF" w:rsidRDefault="006A5520" w:rsidP="00F83E31">
      <w:pPr>
        <w:pStyle w:val="berschrift1"/>
        <w:rPr>
          <w:rFonts w:ascii="Arial" w:hAnsi="Arial" w:cs="Arial"/>
        </w:rPr>
      </w:pPr>
      <w:bookmarkStart w:id="1" w:name="_Toc88571777"/>
      <w:r w:rsidRPr="00E45DAF">
        <w:rPr>
          <w:rFonts w:ascii="Arial" w:hAnsi="Arial" w:cs="Arial"/>
        </w:rPr>
        <w:t>2. Personalauswahl zur Durchführung von PoC-Antigen-Tests</w:t>
      </w:r>
      <w:bookmarkEnd w:id="1"/>
      <w:r w:rsidRPr="00E45DAF">
        <w:rPr>
          <w:rFonts w:ascii="Arial" w:hAnsi="Arial" w:cs="Arial"/>
        </w:rPr>
        <w:t xml:space="preserve"> </w:t>
      </w:r>
    </w:p>
    <w:p w:rsidR="00F83E31" w:rsidRPr="00E45DAF" w:rsidRDefault="00F83E31" w:rsidP="006A5520">
      <w:pPr>
        <w:rPr>
          <w:rFonts w:ascii="Arial" w:hAnsi="Arial" w:cs="Arial"/>
          <w:sz w:val="24"/>
          <w:szCs w:val="24"/>
        </w:rPr>
      </w:pPr>
    </w:p>
    <w:p w:rsidR="006A5520" w:rsidRDefault="006A5520" w:rsidP="006A5520">
      <w:pPr>
        <w:rPr>
          <w:rFonts w:ascii="Arial" w:hAnsi="Arial" w:cs="Arial"/>
          <w:sz w:val="24"/>
          <w:szCs w:val="24"/>
        </w:rPr>
      </w:pPr>
      <w:r w:rsidRPr="00E45DAF">
        <w:rPr>
          <w:rFonts w:ascii="Arial" w:hAnsi="Arial" w:cs="Arial"/>
          <w:sz w:val="24"/>
          <w:szCs w:val="24"/>
        </w:rPr>
        <w:t xml:space="preserve">PoC-Antigentests dürfen entsprechend ihrer Gebrauchsinformation („Beipackzettel“) von medizinischem Fachpersonal durchgeführt werden. Pflegefachkräfte (insb. aus dem Bereich der Kinderkranken-, Kranken-, Gesundheits- und Altenpflege) mit abgeschlossener 3-jähriger Berufsausbildung gelten als medizinisches Fachpersonal i. S. der Gebrauchsinformation der Antigentests und sind (nach Anleitung) berechtigt, diese durchzuführen. </w:t>
      </w:r>
      <w:r w:rsidR="00D713CF" w:rsidRPr="00557B87">
        <w:rPr>
          <w:rFonts w:ascii="Arial" w:hAnsi="Arial" w:cs="Arial"/>
          <w:color w:val="000000" w:themeColor="text1"/>
          <w:sz w:val="24"/>
          <w:szCs w:val="24"/>
          <w:shd w:val="clear" w:color="auto" w:fill="FFFFFF"/>
        </w:rPr>
        <w:t xml:space="preserve">Vor der Durchführung von PoC-Antigen-Tests durch </w:t>
      </w:r>
      <w:r w:rsidR="00D713CF" w:rsidRPr="00557B87">
        <w:rPr>
          <w:rFonts w:ascii="Arial" w:hAnsi="Arial" w:cs="Arial"/>
          <w:color w:val="000000" w:themeColor="text1"/>
          <w:sz w:val="24"/>
          <w:szCs w:val="24"/>
          <w:shd w:val="clear" w:color="auto" w:fill="FFFFFF"/>
        </w:rPr>
        <w:lastRenderedPageBreak/>
        <w:t>nichtärztliches oder medizinisches Fachpersonal bedarf es stets einer Schulung durch eine Ärztin oder einen Arzt.</w:t>
      </w:r>
    </w:p>
    <w:p w:rsidR="006A5520" w:rsidRPr="00E45DAF" w:rsidRDefault="006A5520" w:rsidP="006A5520">
      <w:pPr>
        <w:rPr>
          <w:rFonts w:ascii="Arial" w:hAnsi="Arial" w:cs="Arial"/>
          <w:sz w:val="24"/>
          <w:szCs w:val="24"/>
        </w:rPr>
      </w:pPr>
      <w:r w:rsidRPr="00E45DAF">
        <w:rPr>
          <w:rFonts w:ascii="Arial" w:hAnsi="Arial" w:cs="Arial"/>
          <w:sz w:val="24"/>
          <w:szCs w:val="24"/>
        </w:rPr>
        <w:t>In unserer Einrichtung werden folgende Mitarbeiter die Tests durchführen:</w:t>
      </w:r>
    </w:p>
    <w:p w:rsidR="006A5520" w:rsidRDefault="006A5520" w:rsidP="006A5520">
      <w:pPr>
        <w:pStyle w:val="Listenabsatz"/>
        <w:numPr>
          <w:ilvl w:val="0"/>
          <w:numId w:val="2"/>
        </w:numPr>
        <w:rPr>
          <w:rFonts w:ascii="Arial" w:hAnsi="Arial" w:cs="Arial"/>
          <w:sz w:val="24"/>
          <w:szCs w:val="24"/>
        </w:rPr>
      </w:pPr>
      <w:r w:rsidRPr="00E45DAF">
        <w:rPr>
          <w:rFonts w:ascii="Arial" w:hAnsi="Arial" w:cs="Arial"/>
          <w:sz w:val="24"/>
          <w:szCs w:val="24"/>
        </w:rPr>
        <w:t>Fr. Marder (Altenpfleger</w:t>
      </w:r>
      <w:r w:rsidR="00563942">
        <w:rPr>
          <w:rFonts w:ascii="Arial" w:hAnsi="Arial" w:cs="Arial"/>
          <w:sz w:val="24"/>
          <w:szCs w:val="24"/>
        </w:rPr>
        <w:t>i</w:t>
      </w:r>
      <w:r w:rsidRPr="00E45DAF">
        <w:rPr>
          <w:rFonts w:ascii="Arial" w:hAnsi="Arial" w:cs="Arial"/>
          <w:sz w:val="24"/>
          <w:szCs w:val="24"/>
        </w:rPr>
        <w:t>n)</w:t>
      </w:r>
    </w:p>
    <w:p w:rsidR="00164A16" w:rsidRPr="00164A16" w:rsidRDefault="00164A16" w:rsidP="00164A16">
      <w:pPr>
        <w:pStyle w:val="Listenabsatz"/>
        <w:numPr>
          <w:ilvl w:val="0"/>
          <w:numId w:val="2"/>
        </w:numPr>
        <w:rPr>
          <w:rFonts w:ascii="Arial" w:hAnsi="Arial" w:cs="Arial"/>
          <w:sz w:val="24"/>
          <w:szCs w:val="24"/>
        </w:rPr>
      </w:pPr>
      <w:r w:rsidRPr="00164A16">
        <w:rPr>
          <w:rFonts w:ascii="Arial" w:hAnsi="Arial" w:cs="Arial"/>
          <w:sz w:val="24"/>
          <w:szCs w:val="24"/>
        </w:rPr>
        <w:t>Hr. Softic (Gesundheit</w:t>
      </w:r>
      <w:r w:rsidR="00D83BEB">
        <w:rPr>
          <w:rFonts w:ascii="Arial" w:hAnsi="Arial" w:cs="Arial"/>
          <w:sz w:val="24"/>
          <w:szCs w:val="24"/>
        </w:rPr>
        <w:t>s</w:t>
      </w:r>
      <w:r w:rsidRPr="00164A16">
        <w:rPr>
          <w:rFonts w:ascii="Arial" w:hAnsi="Arial" w:cs="Arial"/>
          <w:sz w:val="24"/>
          <w:szCs w:val="24"/>
        </w:rPr>
        <w:t>- und Krankenpfleger)</w:t>
      </w:r>
    </w:p>
    <w:p w:rsidR="006A5520" w:rsidRPr="00E45DAF" w:rsidRDefault="006A5520" w:rsidP="006A5520">
      <w:pPr>
        <w:pStyle w:val="Listenabsatz"/>
        <w:numPr>
          <w:ilvl w:val="0"/>
          <w:numId w:val="2"/>
        </w:numPr>
        <w:rPr>
          <w:rFonts w:ascii="Arial" w:hAnsi="Arial" w:cs="Arial"/>
          <w:sz w:val="24"/>
          <w:szCs w:val="24"/>
        </w:rPr>
      </w:pPr>
      <w:r w:rsidRPr="00E45DAF">
        <w:rPr>
          <w:rFonts w:ascii="Arial" w:hAnsi="Arial" w:cs="Arial"/>
          <w:sz w:val="24"/>
          <w:szCs w:val="24"/>
        </w:rPr>
        <w:t xml:space="preserve">Fr. Bialucha (Gesundheits- und </w:t>
      </w:r>
      <w:r w:rsidR="00B82500" w:rsidRPr="00E45DAF">
        <w:rPr>
          <w:rFonts w:ascii="Arial" w:hAnsi="Arial" w:cs="Arial"/>
          <w:sz w:val="24"/>
          <w:szCs w:val="24"/>
        </w:rPr>
        <w:t>Krankenpflegerin)</w:t>
      </w:r>
    </w:p>
    <w:p w:rsidR="00831B1C" w:rsidRDefault="00D1249F" w:rsidP="006A5520">
      <w:pPr>
        <w:pStyle w:val="Listenabsatz"/>
        <w:numPr>
          <w:ilvl w:val="0"/>
          <w:numId w:val="2"/>
        </w:numPr>
        <w:rPr>
          <w:rFonts w:ascii="Arial" w:hAnsi="Arial" w:cs="Arial"/>
          <w:sz w:val="24"/>
          <w:szCs w:val="24"/>
        </w:rPr>
      </w:pPr>
      <w:r>
        <w:rPr>
          <w:rFonts w:ascii="Arial" w:hAnsi="Arial" w:cs="Arial"/>
          <w:sz w:val="24"/>
          <w:szCs w:val="24"/>
        </w:rPr>
        <w:t>Fr. Nagler (</w:t>
      </w:r>
      <w:r w:rsidR="00A87A00">
        <w:rPr>
          <w:rFonts w:ascii="Arial" w:hAnsi="Arial" w:cs="Arial"/>
          <w:sz w:val="24"/>
          <w:szCs w:val="24"/>
        </w:rPr>
        <w:t>PDL)</w:t>
      </w:r>
    </w:p>
    <w:p w:rsidR="003340DA" w:rsidRDefault="003340DA" w:rsidP="006A5520">
      <w:pPr>
        <w:pStyle w:val="Listenabsatz"/>
        <w:numPr>
          <w:ilvl w:val="0"/>
          <w:numId w:val="2"/>
        </w:numPr>
        <w:rPr>
          <w:rFonts w:ascii="Arial" w:hAnsi="Arial" w:cs="Arial"/>
          <w:sz w:val="24"/>
          <w:szCs w:val="24"/>
        </w:rPr>
      </w:pPr>
      <w:r>
        <w:rPr>
          <w:rFonts w:ascii="Arial" w:hAnsi="Arial" w:cs="Arial"/>
          <w:sz w:val="24"/>
          <w:szCs w:val="24"/>
        </w:rPr>
        <w:t xml:space="preserve">Fr. Susic </w:t>
      </w:r>
      <w:r w:rsidR="00483B74">
        <w:rPr>
          <w:rFonts w:ascii="Arial" w:hAnsi="Arial" w:cs="Arial"/>
          <w:sz w:val="24"/>
          <w:szCs w:val="24"/>
        </w:rPr>
        <w:t>(PA</w:t>
      </w:r>
      <w:r>
        <w:rPr>
          <w:rFonts w:ascii="Arial" w:hAnsi="Arial" w:cs="Arial"/>
          <w:sz w:val="24"/>
          <w:szCs w:val="24"/>
        </w:rPr>
        <w:t xml:space="preserve">) </w:t>
      </w:r>
    </w:p>
    <w:p w:rsidR="00831B1C" w:rsidRDefault="00831B1C" w:rsidP="006A5520">
      <w:pPr>
        <w:pStyle w:val="Listenabsatz"/>
        <w:numPr>
          <w:ilvl w:val="0"/>
          <w:numId w:val="2"/>
        </w:numPr>
        <w:rPr>
          <w:rFonts w:ascii="Arial" w:hAnsi="Arial" w:cs="Arial"/>
          <w:sz w:val="24"/>
          <w:szCs w:val="24"/>
        </w:rPr>
      </w:pPr>
      <w:r>
        <w:rPr>
          <w:rFonts w:ascii="Arial" w:hAnsi="Arial" w:cs="Arial"/>
          <w:sz w:val="24"/>
          <w:szCs w:val="24"/>
        </w:rPr>
        <w:t>Frau Waldheim</w:t>
      </w:r>
      <w:r w:rsidR="00A87A00">
        <w:rPr>
          <w:rFonts w:ascii="Arial" w:hAnsi="Arial" w:cs="Arial"/>
          <w:sz w:val="24"/>
          <w:szCs w:val="24"/>
        </w:rPr>
        <w:t xml:space="preserve"> (Einrichtungsleitung)</w:t>
      </w:r>
    </w:p>
    <w:p w:rsidR="00D713CF" w:rsidRPr="00557B87" w:rsidRDefault="00D713CF" w:rsidP="006A5520">
      <w:pPr>
        <w:pStyle w:val="Listenabsatz"/>
        <w:numPr>
          <w:ilvl w:val="0"/>
          <w:numId w:val="2"/>
        </w:numPr>
        <w:rPr>
          <w:rFonts w:ascii="Arial" w:hAnsi="Arial" w:cs="Arial"/>
          <w:color w:val="000000" w:themeColor="text1"/>
          <w:sz w:val="24"/>
          <w:szCs w:val="24"/>
        </w:rPr>
      </w:pPr>
      <w:r w:rsidRPr="00557B87">
        <w:rPr>
          <w:rFonts w:ascii="Arial" w:hAnsi="Arial" w:cs="Arial"/>
          <w:color w:val="000000" w:themeColor="text1"/>
          <w:sz w:val="24"/>
          <w:szCs w:val="24"/>
        </w:rPr>
        <w:t>H</w:t>
      </w:r>
      <w:r w:rsidR="008825DF" w:rsidRPr="00557B87">
        <w:rPr>
          <w:rFonts w:ascii="Arial" w:hAnsi="Arial" w:cs="Arial"/>
          <w:color w:val="000000" w:themeColor="text1"/>
          <w:sz w:val="24"/>
          <w:szCs w:val="24"/>
        </w:rPr>
        <w:t>r.</w:t>
      </w:r>
      <w:r w:rsidRPr="00557B87">
        <w:rPr>
          <w:rFonts w:ascii="Arial" w:hAnsi="Arial" w:cs="Arial"/>
          <w:color w:val="000000" w:themeColor="text1"/>
          <w:sz w:val="24"/>
          <w:szCs w:val="24"/>
        </w:rPr>
        <w:t xml:space="preserve"> Hoss</w:t>
      </w:r>
      <w:r w:rsidR="002439CF" w:rsidRPr="00557B87">
        <w:rPr>
          <w:rFonts w:ascii="Arial" w:hAnsi="Arial" w:cs="Arial"/>
          <w:color w:val="000000" w:themeColor="text1"/>
          <w:sz w:val="24"/>
          <w:szCs w:val="24"/>
        </w:rPr>
        <w:t>a</w:t>
      </w:r>
      <w:r w:rsidRPr="00557B87">
        <w:rPr>
          <w:rFonts w:ascii="Arial" w:hAnsi="Arial" w:cs="Arial"/>
          <w:color w:val="000000" w:themeColor="text1"/>
          <w:sz w:val="24"/>
          <w:szCs w:val="24"/>
        </w:rPr>
        <w:t>ini</w:t>
      </w:r>
    </w:p>
    <w:p w:rsidR="00793EC7" w:rsidRPr="003340DA" w:rsidRDefault="00793EC7" w:rsidP="006A5520">
      <w:pPr>
        <w:pStyle w:val="Listenabsatz"/>
        <w:numPr>
          <w:ilvl w:val="0"/>
          <w:numId w:val="2"/>
        </w:numPr>
        <w:rPr>
          <w:rFonts w:ascii="Arial" w:hAnsi="Arial" w:cs="Arial"/>
          <w:sz w:val="24"/>
          <w:szCs w:val="24"/>
        </w:rPr>
      </w:pPr>
      <w:r w:rsidRPr="003340DA">
        <w:rPr>
          <w:rFonts w:ascii="Arial" w:hAnsi="Arial" w:cs="Arial"/>
          <w:sz w:val="24"/>
          <w:szCs w:val="24"/>
        </w:rPr>
        <w:t>Fr. Marthiensen</w:t>
      </w:r>
    </w:p>
    <w:p w:rsidR="003D2DAC" w:rsidRPr="003340DA" w:rsidRDefault="003D2DAC" w:rsidP="006A5520">
      <w:pPr>
        <w:pStyle w:val="Listenabsatz"/>
        <w:numPr>
          <w:ilvl w:val="0"/>
          <w:numId w:val="2"/>
        </w:numPr>
        <w:rPr>
          <w:rFonts w:ascii="Arial" w:hAnsi="Arial" w:cs="Arial"/>
          <w:sz w:val="24"/>
          <w:szCs w:val="24"/>
        </w:rPr>
      </w:pPr>
      <w:r w:rsidRPr="003340DA">
        <w:rPr>
          <w:rFonts w:ascii="Arial" w:hAnsi="Arial" w:cs="Arial"/>
          <w:sz w:val="24"/>
          <w:szCs w:val="24"/>
        </w:rPr>
        <w:t>Fr. Gumbmann</w:t>
      </w:r>
    </w:p>
    <w:p w:rsidR="006A5520" w:rsidRPr="00E45DAF" w:rsidRDefault="006A5520" w:rsidP="006A5520">
      <w:pPr>
        <w:rPr>
          <w:rFonts w:ascii="Arial" w:hAnsi="Arial" w:cs="Arial"/>
          <w:sz w:val="24"/>
          <w:szCs w:val="24"/>
        </w:rPr>
      </w:pPr>
      <w:r w:rsidRPr="00E45DAF">
        <w:rPr>
          <w:rFonts w:ascii="Arial" w:hAnsi="Arial" w:cs="Arial"/>
          <w:sz w:val="24"/>
          <w:szCs w:val="24"/>
        </w:rPr>
        <w:t>Eine Einweisung der Pflegefachkraft</w:t>
      </w:r>
      <w:r w:rsidR="003D0DBE">
        <w:rPr>
          <w:rFonts w:ascii="Arial" w:hAnsi="Arial" w:cs="Arial"/>
          <w:sz w:val="24"/>
          <w:szCs w:val="24"/>
        </w:rPr>
        <w:t xml:space="preserve"> </w:t>
      </w:r>
      <w:r w:rsidRPr="00E45DAF">
        <w:rPr>
          <w:rFonts w:ascii="Arial" w:hAnsi="Arial" w:cs="Arial"/>
          <w:sz w:val="24"/>
          <w:szCs w:val="24"/>
        </w:rPr>
        <w:t xml:space="preserve">des medizinischen Fachpersonals in die Anwendung des als Medizinprodukt geltenden „PoC-Antigen-Tests“ ist gemäß § 4 Absatz 3 der Medizinprodukte-Betreiberverordnung erforderlich. </w:t>
      </w:r>
    </w:p>
    <w:p w:rsidR="00F83E31" w:rsidRDefault="00B82500" w:rsidP="006A5520">
      <w:pPr>
        <w:rPr>
          <w:rFonts w:ascii="Arial" w:hAnsi="Arial" w:cs="Arial"/>
          <w:sz w:val="24"/>
          <w:szCs w:val="24"/>
        </w:rPr>
      </w:pPr>
      <w:r w:rsidRPr="00E45DAF">
        <w:rPr>
          <w:rFonts w:ascii="Arial" w:hAnsi="Arial" w:cs="Arial"/>
          <w:sz w:val="24"/>
          <w:szCs w:val="24"/>
        </w:rPr>
        <w:t>Unsere Kooperations</w:t>
      </w:r>
      <w:r w:rsidR="008825DF">
        <w:rPr>
          <w:rFonts w:ascii="Arial" w:hAnsi="Arial" w:cs="Arial"/>
          <w:sz w:val="24"/>
          <w:szCs w:val="24"/>
        </w:rPr>
        <w:t>ärzte</w:t>
      </w:r>
      <w:r w:rsidRPr="00E45DAF">
        <w:rPr>
          <w:rFonts w:ascii="Arial" w:hAnsi="Arial" w:cs="Arial"/>
          <w:sz w:val="24"/>
          <w:szCs w:val="24"/>
        </w:rPr>
        <w:t>, Dr. Woitaschek</w:t>
      </w:r>
      <w:r w:rsidR="008825DF">
        <w:rPr>
          <w:rFonts w:ascii="Arial" w:hAnsi="Arial" w:cs="Arial"/>
          <w:sz w:val="24"/>
          <w:szCs w:val="24"/>
        </w:rPr>
        <w:t xml:space="preserve"> </w:t>
      </w:r>
      <w:r w:rsidR="008825DF" w:rsidRPr="00557B87">
        <w:rPr>
          <w:rFonts w:ascii="Arial" w:hAnsi="Arial" w:cs="Arial"/>
          <w:color w:val="000000" w:themeColor="text1"/>
          <w:sz w:val="24"/>
          <w:szCs w:val="24"/>
        </w:rPr>
        <w:t>und Dr. Sonnenberg</w:t>
      </w:r>
      <w:r w:rsidRPr="00557B87">
        <w:rPr>
          <w:rFonts w:ascii="Arial" w:hAnsi="Arial" w:cs="Arial"/>
          <w:color w:val="000000" w:themeColor="text1"/>
          <w:sz w:val="24"/>
          <w:szCs w:val="24"/>
        </w:rPr>
        <w:t xml:space="preserve"> </w:t>
      </w:r>
      <w:r w:rsidR="008825DF">
        <w:rPr>
          <w:rFonts w:ascii="Arial" w:hAnsi="Arial" w:cs="Arial"/>
          <w:sz w:val="24"/>
          <w:szCs w:val="24"/>
        </w:rPr>
        <w:t>werden</w:t>
      </w:r>
      <w:r w:rsidRPr="00E45DAF">
        <w:rPr>
          <w:rFonts w:ascii="Arial" w:hAnsi="Arial" w:cs="Arial"/>
          <w:sz w:val="24"/>
          <w:szCs w:val="24"/>
        </w:rPr>
        <w:t xml:space="preserve"> diese Einweisung durchführen</w:t>
      </w:r>
      <w:r w:rsidR="008825DF">
        <w:rPr>
          <w:rFonts w:ascii="Arial" w:hAnsi="Arial" w:cs="Arial"/>
          <w:sz w:val="24"/>
          <w:szCs w:val="24"/>
        </w:rPr>
        <w:t>.</w:t>
      </w:r>
    </w:p>
    <w:p w:rsidR="008825DF" w:rsidRPr="00E45DAF" w:rsidRDefault="008825DF" w:rsidP="006A5520">
      <w:pPr>
        <w:rPr>
          <w:rFonts w:ascii="Arial" w:hAnsi="Arial" w:cs="Arial"/>
          <w:sz w:val="24"/>
          <w:szCs w:val="24"/>
        </w:rPr>
      </w:pPr>
    </w:p>
    <w:p w:rsidR="00B82500" w:rsidRPr="00E45DAF" w:rsidRDefault="00B82500" w:rsidP="00F83E31">
      <w:pPr>
        <w:pStyle w:val="berschrift1"/>
        <w:rPr>
          <w:rFonts w:ascii="Arial" w:hAnsi="Arial" w:cs="Arial"/>
        </w:rPr>
      </w:pPr>
      <w:bookmarkStart w:id="2" w:name="_Toc88571778"/>
      <w:r w:rsidRPr="00E45DAF">
        <w:rPr>
          <w:rFonts w:ascii="Arial" w:hAnsi="Arial" w:cs="Arial"/>
        </w:rPr>
        <w:t>3. Infektions- und Arbeitsschutzmaßnahmen zur Anwendung von PoC-Antigen-Tests und Abfallentsorgung</w:t>
      </w:r>
      <w:bookmarkEnd w:id="2"/>
    </w:p>
    <w:p w:rsidR="00F83E31" w:rsidRPr="00E45DAF" w:rsidRDefault="00F83E31" w:rsidP="00B82500">
      <w:pPr>
        <w:rPr>
          <w:rFonts w:ascii="Arial" w:hAnsi="Arial" w:cs="Arial"/>
        </w:rPr>
      </w:pPr>
    </w:p>
    <w:p w:rsidR="00B82500" w:rsidRPr="00E45DAF" w:rsidRDefault="00B82500" w:rsidP="00B82500">
      <w:pPr>
        <w:rPr>
          <w:rFonts w:ascii="Arial" w:hAnsi="Arial" w:cs="Arial"/>
          <w:sz w:val="24"/>
          <w:szCs w:val="24"/>
        </w:rPr>
      </w:pPr>
      <w:r w:rsidRPr="00E45DAF">
        <w:rPr>
          <w:rFonts w:ascii="Arial" w:hAnsi="Arial" w:cs="Arial"/>
          <w:sz w:val="24"/>
          <w:szCs w:val="24"/>
        </w:rPr>
        <w:t>Bei der Anwendung der PoC-Antigen-Tests bleiben die RKI-Empfehlungen „Prävention und Management von COVID-19 in Alten- und Pflegeeinrichtungen und Einrichtungen für Menschen mit Beeinträchtigungen und Behinderungen“ relevant.</w:t>
      </w:r>
    </w:p>
    <w:p w:rsidR="00B82500" w:rsidRPr="00E45DAF" w:rsidRDefault="00B82500" w:rsidP="00B82500">
      <w:pPr>
        <w:rPr>
          <w:rFonts w:ascii="Arial" w:hAnsi="Arial" w:cs="Arial"/>
          <w:sz w:val="24"/>
          <w:szCs w:val="24"/>
        </w:rPr>
      </w:pPr>
      <w:r w:rsidRPr="00E45DAF">
        <w:rPr>
          <w:rFonts w:ascii="Arial" w:hAnsi="Arial" w:cs="Arial"/>
          <w:sz w:val="24"/>
          <w:szCs w:val="24"/>
        </w:rPr>
        <w:t>Während der Durchführung des Testabstrichs ist das Tragen von Schutzausrüstung erforderlich. Hierzu gehören:</w:t>
      </w:r>
    </w:p>
    <w:p w:rsidR="00B82500" w:rsidRPr="00E45DAF" w:rsidRDefault="00B82500" w:rsidP="00B82500">
      <w:pPr>
        <w:pStyle w:val="Listenabsatz"/>
        <w:numPr>
          <w:ilvl w:val="0"/>
          <w:numId w:val="3"/>
        </w:numPr>
        <w:rPr>
          <w:rFonts w:ascii="Arial" w:hAnsi="Arial" w:cs="Arial"/>
          <w:sz w:val="24"/>
          <w:szCs w:val="24"/>
        </w:rPr>
      </w:pPr>
      <w:r w:rsidRPr="00E45DAF">
        <w:rPr>
          <w:rFonts w:ascii="Arial" w:hAnsi="Arial" w:cs="Arial"/>
          <w:sz w:val="24"/>
          <w:szCs w:val="24"/>
        </w:rPr>
        <w:t>FFP2-Masken oder vergleichbare Atemschutzmasken</w:t>
      </w:r>
    </w:p>
    <w:p w:rsidR="00B82500" w:rsidRPr="00E45DAF" w:rsidRDefault="00B82500" w:rsidP="00B82500">
      <w:pPr>
        <w:pStyle w:val="Listenabsatz"/>
        <w:numPr>
          <w:ilvl w:val="0"/>
          <w:numId w:val="3"/>
        </w:numPr>
        <w:rPr>
          <w:rFonts w:ascii="Arial" w:hAnsi="Arial" w:cs="Arial"/>
          <w:sz w:val="24"/>
          <w:szCs w:val="24"/>
        </w:rPr>
      </w:pPr>
      <w:r w:rsidRPr="00E45DAF">
        <w:rPr>
          <w:rFonts w:ascii="Arial" w:hAnsi="Arial" w:cs="Arial"/>
          <w:sz w:val="24"/>
          <w:szCs w:val="24"/>
        </w:rPr>
        <w:t xml:space="preserve">Handschuhe </w:t>
      </w:r>
    </w:p>
    <w:p w:rsidR="00B82500" w:rsidRPr="00E45DAF" w:rsidRDefault="00B82500" w:rsidP="00B82500">
      <w:pPr>
        <w:pStyle w:val="Listenabsatz"/>
        <w:numPr>
          <w:ilvl w:val="0"/>
          <w:numId w:val="3"/>
        </w:numPr>
        <w:rPr>
          <w:rFonts w:ascii="Arial" w:hAnsi="Arial" w:cs="Arial"/>
          <w:sz w:val="24"/>
          <w:szCs w:val="24"/>
        </w:rPr>
      </w:pPr>
      <w:r w:rsidRPr="00E45DAF">
        <w:rPr>
          <w:rFonts w:ascii="Arial" w:hAnsi="Arial" w:cs="Arial"/>
          <w:sz w:val="24"/>
          <w:szCs w:val="24"/>
        </w:rPr>
        <w:t>Schutzkittel/ Overalls</w:t>
      </w:r>
    </w:p>
    <w:p w:rsidR="00B82500" w:rsidRPr="00E45DAF" w:rsidRDefault="00B82500" w:rsidP="00B82500">
      <w:pPr>
        <w:pStyle w:val="Listenabsatz"/>
        <w:numPr>
          <w:ilvl w:val="0"/>
          <w:numId w:val="3"/>
        </w:numPr>
        <w:rPr>
          <w:rFonts w:ascii="Arial" w:hAnsi="Arial" w:cs="Arial"/>
          <w:sz w:val="24"/>
          <w:szCs w:val="24"/>
        </w:rPr>
      </w:pPr>
      <w:r w:rsidRPr="00E45DAF">
        <w:rPr>
          <w:rFonts w:ascii="Arial" w:hAnsi="Arial" w:cs="Arial"/>
          <w:sz w:val="24"/>
          <w:szCs w:val="24"/>
        </w:rPr>
        <w:t>Schutzbrillen oder Visiere.</w:t>
      </w:r>
    </w:p>
    <w:p w:rsidR="00B82500" w:rsidRPr="00E45DAF" w:rsidRDefault="00B82500" w:rsidP="00B82500">
      <w:pPr>
        <w:rPr>
          <w:rFonts w:ascii="Arial" w:hAnsi="Arial" w:cs="Arial"/>
          <w:sz w:val="24"/>
          <w:szCs w:val="24"/>
        </w:rPr>
      </w:pPr>
      <w:r w:rsidRPr="00E45DAF">
        <w:rPr>
          <w:rFonts w:ascii="Arial" w:hAnsi="Arial" w:cs="Arial"/>
          <w:sz w:val="24"/>
          <w:szCs w:val="24"/>
        </w:rPr>
        <w:t xml:space="preserve">Wenn es während einer Testung zu einer Kontamination der Schutzausrüstung kommt, ist diese zu wechseln, um eine Kontamination der Umgebung auszuschließen. Nach der Testdurchführung sind der feste und flüssige Abfall </w:t>
      </w:r>
      <w:r w:rsidRPr="00E45DAF">
        <w:rPr>
          <w:rFonts w:ascii="Arial" w:hAnsi="Arial" w:cs="Arial"/>
          <w:sz w:val="24"/>
          <w:szCs w:val="24"/>
        </w:rPr>
        <w:lastRenderedPageBreak/>
        <w:t>entsprechend der genannten ABAS-Empfehlung „Arbeitsschutzmaßnahmen bei der Point-of-Care-SARS-CoV-2 Diagnostik“ zu entsorgen.</w:t>
      </w:r>
    </w:p>
    <w:p w:rsidR="00F83E31" w:rsidRPr="00E45DAF" w:rsidRDefault="00F83E31" w:rsidP="00B82500">
      <w:pPr>
        <w:rPr>
          <w:rFonts w:ascii="Arial" w:hAnsi="Arial" w:cs="Arial"/>
          <w:sz w:val="24"/>
          <w:szCs w:val="24"/>
        </w:rPr>
      </w:pPr>
    </w:p>
    <w:p w:rsidR="00B82500" w:rsidRPr="00E45DAF" w:rsidRDefault="00B82500" w:rsidP="00F83E31">
      <w:pPr>
        <w:pStyle w:val="berschrift1"/>
        <w:rPr>
          <w:rFonts w:ascii="Arial" w:hAnsi="Arial" w:cs="Arial"/>
        </w:rPr>
      </w:pPr>
      <w:bookmarkStart w:id="3" w:name="_Toc88571779"/>
      <w:r w:rsidRPr="00E45DAF">
        <w:rPr>
          <w:rFonts w:ascii="Arial" w:hAnsi="Arial" w:cs="Arial"/>
        </w:rPr>
        <w:t>4. Testfrequenz, Zeitdauer der Testdurchführung von PoC-Antigen-Tests und die Räumlichkeiten</w:t>
      </w:r>
      <w:bookmarkEnd w:id="3"/>
    </w:p>
    <w:p w:rsidR="00F83E31" w:rsidRPr="00E45DAF" w:rsidRDefault="00F83E31" w:rsidP="00B82500">
      <w:pPr>
        <w:rPr>
          <w:rFonts w:ascii="Arial" w:hAnsi="Arial" w:cs="Arial"/>
          <w:sz w:val="24"/>
          <w:szCs w:val="24"/>
        </w:rPr>
      </w:pPr>
    </w:p>
    <w:p w:rsidR="00B82500" w:rsidRDefault="00B82500" w:rsidP="00B82500">
      <w:pPr>
        <w:rPr>
          <w:rFonts w:ascii="Arial" w:hAnsi="Arial" w:cs="Arial"/>
          <w:color w:val="000000" w:themeColor="text1"/>
          <w:sz w:val="24"/>
          <w:szCs w:val="24"/>
        </w:rPr>
      </w:pPr>
      <w:r w:rsidRPr="00557B87">
        <w:rPr>
          <w:rFonts w:ascii="Arial" w:hAnsi="Arial" w:cs="Arial"/>
          <w:color w:val="000000" w:themeColor="text1"/>
          <w:sz w:val="24"/>
          <w:szCs w:val="24"/>
        </w:rPr>
        <w:t xml:space="preserve">In unserer Einrichtung </w:t>
      </w:r>
      <w:r w:rsidR="00831B1C" w:rsidRPr="00557B87">
        <w:rPr>
          <w:rFonts w:ascii="Arial" w:hAnsi="Arial" w:cs="Arial"/>
          <w:color w:val="000000" w:themeColor="text1"/>
          <w:sz w:val="24"/>
          <w:szCs w:val="24"/>
        </w:rPr>
        <w:t>beschäftigen</w:t>
      </w:r>
      <w:r w:rsidR="002E01EF" w:rsidRPr="00557B87">
        <w:rPr>
          <w:rFonts w:ascii="Arial" w:hAnsi="Arial" w:cs="Arial"/>
          <w:color w:val="000000" w:themeColor="text1"/>
          <w:sz w:val="24"/>
          <w:szCs w:val="24"/>
        </w:rPr>
        <w:t xml:space="preserve"> wir </w:t>
      </w:r>
      <w:r w:rsidR="00831B1C" w:rsidRPr="00557B87">
        <w:rPr>
          <w:rFonts w:ascii="Arial" w:hAnsi="Arial" w:cs="Arial"/>
          <w:color w:val="000000" w:themeColor="text1"/>
          <w:sz w:val="24"/>
          <w:szCs w:val="24"/>
        </w:rPr>
        <w:t xml:space="preserve">ca. </w:t>
      </w:r>
      <w:r w:rsidR="002E01EF" w:rsidRPr="00557B87">
        <w:rPr>
          <w:rFonts w:ascii="Arial" w:hAnsi="Arial" w:cs="Arial"/>
          <w:color w:val="000000" w:themeColor="text1"/>
          <w:sz w:val="24"/>
          <w:szCs w:val="24"/>
        </w:rPr>
        <w:t>1</w:t>
      </w:r>
      <w:r w:rsidR="00831B1C" w:rsidRPr="00557B87">
        <w:rPr>
          <w:rFonts w:ascii="Arial" w:hAnsi="Arial" w:cs="Arial"/>
          <w:color w:val="000000" w:themeColor="text1"/>
          <w:sz w:val="24"/>
          <w:szCs w:val="24"/>
        </w:rPr>
        <w:t>2</w:t>
      </w:r>
      <w:r w:rsidR="00932F48">
        <w:rPr>
          <w:rFonts w:ascii="Arial" w:hAnsi="Arial" w:cs="Arial"/>
          <w:color w:val="000000" w:themeColor="text1"/>
          <w:sz w:val="24"/>
          <w:szCs w:val="24"/>
        </w:rPr>
        <w:t>5</w:t>
      </w:r>
      <w:r w:rsidRPr="00557B87">
        <w:rPr>
          <w:rFonts w:ascii="Arial" w:hAnsi="Arial" w:cs="Arial"/>
          <w:color w:val="000000" w:themeColor="text1"/>
          <w:sz w:val="24"/>
          <w:szCs w:val="24"/>
        </w:rPr>
        <w:t xml:space="preserve"> Mitarbeiter</w:t>
      </w:r>
      <w:r w:rsidR="002E01EF" w:rsidRPr="00557B87">
        <w:rPr>
          <w:rFonts w:ascii="Arial" w:hAnsi="Arial" w:cs="Arial"/>
          <w:color w:val="000000" w:themeColor="text1"/>
          <w:sz w:val="24"/>
          <w:szCs w:val="24"/>
        </w:rPr>
        <w:t xml:space="preserve">, </w:t>
      </w:r>
      <w:r w:rsidR="00203743" w:rsidRPr="00203743">
        <w:rPr>
          <w:rFonts w:ascii="Arial" w:hAnsi="Arial" w:cs="Arial"/>
          <w:color w:val="FF0000"/>
          <w:sz w:val="24"/>
          <w:szCs w:val="24"/>
        </w:rPr>
        <w:t xml:space="preserve">alle Mitarbeiter </w:t>
      </w:r>
      <w:r w:rsidR="008825DF" w:rsidRPr="00203743">
        <w:rPr>
          <w:rFonts w:ascii="Arial" w:hAnsi="Arial" w:cs="Arial"/>
          <w:color w:val="FF0000"/>
          <w:sz w:val="24"/>
          <w:szCs w:val="24"/>
        </w:rPr>
        <w:t xml:space="preserve">werden </w:t>
      </w:r>
      <w:r w:rsidR="00831B1C" w:rsidRPr="00203743">
        <w:rPr>
          <w:rFonts w:ascii="Arial" w:hAnsi="Arial" w:cs="Arial"/>
          <w:color w:val="FF0000"/>
          <w:sz w:val="24"/>
          <w:szCs w:val="24"/>
        </w:rPr>
        <w:t>täglich (vor dem Arbeitsantritt) getestet</w:t>
      </w:r>
      <w:r w:rsidR="00831B1C" w:rsidRPr="00557B87">
        <w:rPr>
          <w:rFonts w:ascii="Arial" w:hAnsi="Arial" w:cs="Arial"/>
          <w:color w:val="000000" w:themeColor="text1"/>
          <w:sz w:val="24"/>
          <w:szCs w:val="24"/>
        </w:rPr>
        <w:t>, Es werden ausschließlich</w:t>
      </w:r>
      <w:r w:rsidR="002E01EF" w:rsidRPr="00557B87">
        <w:rPr>
          <w:rFonts w:ascii="Arial" w:hAnsi="Arial" w:cs="Arial"/>
          <w:color w:val="000000" w:themeColor="text1"/>
          <w:sz w:val="24"/>
          <w:szCs w:val="24"/>
        </w:rPr>
        <w:t xml:space="preserve"> PoC- Antigen- Test</w:t>
      </w:r>
      <w:r w:rsidR="00831B1C" w:rsidRPr="00557B87">
        <w:rPr>
          <w:rFonts w:ascii="Arial" w:hAnsi="Arial" w:cs="Arial"/>
          <w:color w:val="000000" w:themeColor="text1"/>
          <w:sz w:val="24"/>
          <w:szCs w:val="24"/>
        </w:rPr>
        <w:t>s für die Testung verwendet.</w:t>
      </w:r>
    </w:p>
    <w:p w:rsidR="00203743" w:rsidRPr="005058F7" w:rsidRDefault="00203743" w:rsidP="00203743">
      <w:pPr>
        <w:rPr>
          <w:rFonts w:ascii="Arial" w:hAnsi="Arial" w:cs="Arial"/>
          <w:color w:val="FF0000"/>
          <w:sz w:val="24"/>
          <w:szCs w:val="24"/>
        </w:rPr>
      </w:pPr>
      <w:r w:rsidRPr="005058F7">
        <w:rPr>
          <w:rFonts w:ascii="Arial" w:hAnsi="Arial" w:cs="Arial"/>
          <w:color w:val="FF0000"/>
          <w:sz w:val="24"/>
          <w:szCs w:val="24"/>
        </w:rPr>
        <w:t xml:space="preserve">Besuchende dürfen die Einrichtungen nur betreten, wenn sie getestete Personen sind und einen Testnachweis mit sich führen </w:t>
      </w:r>
      <w:r w:rsidR="005058F7" w:rsidRPr="005058F7">
        <w:rPr>
          <w:rFonts w:ascii="Arial" w:hAnsi="Arial" w:cs="Arial"/>
          <w:color w:val="FF0000"/>
          <w:sz w:val="24"/>
          <w:szCs w:val="24"/>
        </w:rPr>
        <w:t>(nicht</w:t>
      </w:r>
      <w:r w:rsidRPr="005058F7">
        <w:rPr>
          <w:rFonts w:ascii="Arial" w:hAnsi="Arial" w:cs="Arial"/>
          <w:color w:val="FF0000"/>
          <w:sz w:val="24"/>
          <w:szCs w:val="24"/>
        </w:rPr>
        <w:t xml:space="preserve"> älter als 24 Stunden) oder einen Test im Haus in Anspruch nehmen. </w:t>
      </w:r>
    </w:p>
    <w:p w:rsidR="00203743" w:rsidRPr="005058F7" w:rsidRDefault="00203743" w:rsidP="00203743">
      <w:pPr>
        <w:rPr>
          <w:rFonts w:ascii="Arial" w:hAnsi="Arial" w:cs="Arial"/>
          <w:color w:val="FF0000"/>
          <w:sz w:val="24"/>
          <w:szCs w:val="24"/>
        </w:rPr>
      </w:pPr>
      <w:r w:rsidRPr="005058F7">
        <w:rPr>
          <w:rFonts w:ascii="Arial" w:hAnsi="Arial" w:cs="Arial"/>
          <w:color w:val="FF0000"/>
          <w:sz w:val="24"/>
          <w:szCs w:val="24"/>
        </w:rPr>
        <w:t>Keine Besucher sind:</w:t>
      </w:r>
    </w:p>
    <w:p w:rsidR="00203743" w:rsidRPr="005058F7" w:rsidRDefault="00203743" w:rsidP="00203743">
      <w:pPr>
        <w:pStyle w:val="Listenabsatz"/>
        <w:numPr>
          <w:ilvl w:val="0"/>
          <w:numId w:val="6"/>
        </w:numPr>
        <w:rPr>
          <w:rFonts w:ascii="Arial" w:hAnsi="Arial" w:cs="Arial"/>
          <w:color w:val="FF0000"/>
          <w:sz w:val="24"/>
          <w:szCs w:val="24"/>
        </w:rPr>
      </w:pPr>
      <w:r w:rsidRPr="005058F7">
        <w:rPr>
          <w:rFonts w:ascii="Arial" w:hAnsi="Arial" w:cs="Arial"/>
          <w:color w:val="FF0000"/>
          <w:sz w:val="24"/>
          <w:szCs w:val="24"/>
        </w:rPr>
        <w:t>Betreute, gepflegte oder in den Einrichtungen untergebrachte Personen</w:t>
      </w:r>
    </w:p>
    <w:p w:rsidR="00203743" w:rsidRPr="005058F7" w:rsidRDefault="00203743" w:rsidP="00203743">
      <w:pPr>
        <w:pStyle w:val="Listenabsatz"/>
        <w:numPr>
          <w:ilvl w:val="0"/>
          <w:numId w:val="6"/>
        </w:numPr>
        <w:rPr>
          <w:rFonts w:ascii="Arial" w:hAnsi="Arial" w:cs="Arial"/>
          <w:color w:val="FF0000"/>
          <w:sz w:val="24"/>
          <w:szCs w:val="24"/>
        </w:rPr>
      </w:pPr>
      <w:r w:rsidRPr="005058F7">
        <w:rPr>
          <w:rFonts w:ascii="Arial" w:hAnsi="Arial" w:cs="Arial"/>
          <w:color w:val="FF0000"/>
          <w:sz w:val="24"/>
          <w:szCs w:val="24"/>
        </w:rPr>
        <w:t>Personen, die in Eilfällen oder aufgrund hoheitlicher Befugnisse die Einrichtungen</w:t>
      </w:r>
      <w:r w:rsidRPr="005058F7">
        <w:rPr>
          <w:rFonts w:ascii="Arial" w:hAnsi="Arial" w:cs="Arial"/>
          <w:color w:val="FF0000"/>
          <w:sz w:val="24"/>
          <w:szCs w:val="24"/>
        </w:rPr>
        <w:cr/>
        <w:t>betreten (z.B. Rettungsdienste, Betreuungsrichter*innen, Seelsorger bei Sterbeprozessen)</w:t>
      </w:r>
    </w:p>
    <w:p w:rsidR="00203743" w:rsidRPr="005058F7" w:rsidRDefault="00203743" w:rsidP="00203743">
      <w:pPr>
        <w:pStyle w:val="Listenabsatz"/>
        <w:numPr>
          <w:ilvl w:val="0"/>
          <w:numId w:val="6"/>
        </w:numPr>
        <w:rPr>
          <w:rFonts w:ascii="Arial" w:hAnsi="Arial" w:cs="Arial"/>
          <w:color w:val="FF0000"/>
          <w:sz w:val="24"/>
          <w:szCs w:val="24"/>
        </w:rPr>
      </w:pPr>
      <w:r w:rsidRPr="005058F7">
        <w:rPr>
          <w:rFonts w:ascii="Arial" w:hAnsi="Arial" w:cs="Arial"/>
          <w:color w:val="FF0000"/>
          <w:sz w:val="24"/>
          <w:szCs w:val="24"/>
        </w:rPr>
        <w:t>Personen, die die Einrichtung nur kurzzeitig (Richtwert unter 15 min) im Außen-,</w:t>
      </w:r>
      <w:r w:rsidR="00CF5138">
        <w:rPr>
          <w:rFonts w:ascii="Arial" w:hAnsi="Arial" w:cs="Arial"/>
          <w:color w:val="FF0000"/>
          <w:sz w:val="24"/>
          <w:szCs w:val="24"/>
        </w:rPr>
        <w:t xml:space="preserve"> </w:t>
      </w:r>
      <w:r w:rsidRPr="005058F7">
        <w:rPr>
          <w:rFonts w:ascii="Arial" w:hAnsi="Arial" w:cs="Arial"/>
          <w:color w:val="FF0000"/>
          <w:sz w:val="24"/>
          <w:szCs w:val="24"/>
        </w:rPr>
        <w:t>Eingangs- oder Anlieferungsbereich (z. B. Post- und Paketboten oder Anlieferer) betreten.</w:t>
      </w:r>
    </w:p>
    <w:p w:rsidR="00203743" w:rsidRPr="005058F7" w:rsidRDefault="00203743" w:rsidP="00203743">
      <w:pPr>
        <w:rPr>
          <w:rFonts w:ascii="Arial" w:hAnsi="Arial" w:cs="Arial"/>
          <w:color w:val="FF0000"/>
          <w:sz w:val="24"/>
          <w:szCs w:val="24"/>
        </w:rPr>
      </w:pPr>
      <w:r w:rsidRPr="005058F7">
        <w:rPr>
          <w:rFonts w:ascii="Arial" w:hAnsi="Arial" w:cs="Arial"/>
          <w:color w:val="FF0000"/>
          <w:sz w:val="24"/>
          <w:szCs w:val="24"/>
        </w:rPr>
        <w:t>Die Ausnahmen sind eng auszulegen.</w:t>
      </w:r>
      <w:r w:rsidR="005058F7">
        <w:rPr>
          <w:rFonts w:ascii="Arial" w:hAnsi="Arial" w:cs="Arial"/>
          <w:color w:val="FF0000"/>
          <w:sz w:val="24"/>
          <w:szCs w:val="24"/>
        </w:rPr>
        <w:t xml:space="preserve"> </w:t>
      </w:r>
    </w:p>
    <w:p w:rsidR="00203743" w:rsidRDefault="00203743" w:rsidP="00203743">
      <w:pPr>
        <w:rPr>
          <w:rFonts w:ascii="Arial" w:hAnsi="Arial" w:cs="Arial"/>
          <w:color w:val="FF0000"/>
          <w:sz w:val="24"/>
          <w:szCs w:val="24"/>
        </w:rPr>
      </w:pPr>
      <w:r w:rsidRPr="005058F7">
        <w:rPr>
          <w:rFonts w:ascii="Arial" w:hAnsi="Arial" w:cs="Arial"/>
          <w:color w:val="FF0000"/>
          <w:sz w:val="24"/>
          <w:szCs w:val="24"/>
        </w:rPr>
        <w:t xml:space="preserve">Fremddienste, die die Einrichtungen betreten (z. B. Handwerker, Therapeuten, </w:t>
      </w:r>
      <w:r w:rsidR="005058F7">
        <w:rPr>
          <w:rFonts w:ascii="Arial" w:hAnsi="Arial" w:cs="Arial"/>
          <w:color w:val="FF0000"/>
          <w:sz w:val="24"/>
          <w:szCs w:val="24"/>
        </w:rPr>
        <w:t xml:space="preserve">Frisör, </w:t>
      </w:r>
      <w:r w:rsidRPr="005058F7">
        <w:rPr>
          <w:rFonts w:ascii="Arial" w:hAnsi="Arial" w:cs="Arial"/>
          <w:color w:val="FF0000"/>
          <w:sz w:val="24"/>
          <w:szCs w:val="24"/>
        </w:rPr>
        <w:t>etc.) gelten im Übrigen als Besuchende</w:t>
      </w:r>
      <w:r w:rsidR="005058F7">
        <w:rPr>
          <w:rFonts w:ascii="Arial" w:hAnsi="Arial" w:cs="Arial"/>
          <w:color w:val="FF0000"/>
          <w:sz w:val="24"/>
          <w:szCs w:val="24"/>
        </w:rPr>
        <w:t xml:space="preserve"> und müssen ein Testergebnis, nicht älter als 24 Stunden vorlegen oder einen Test im Haus in Anspruch nehmen. </w:t>
      </w:r>
    </w:p>
    <w:p w:rsidR="005058F7" w:rsidRDefault="005058F7" w:rsidP="005058F7">
      <w:pPr>
        <w:rPr>
          <w:rFonts w:ascii="Arial" w:hAnsi="Arial" w:cs="Arial"/>
          <w:color w:val="FF0000"/>
          <w:sz w:val="24"/>
          <w:szCs w:val="24"/>
        </w:rPr>
      </w:pPr>
      <w:r w:rsidRPr="005058F7">
        <w:rPr>
          <w:rFonts w:ascii="Arial" w:hAnsi="Arial" w:cs="Arial"/>
          <w:color w:val="FF0000"/>
          <w:sz w:val="24"/>
          <w:szCs w:val="24"/>
        </w:rPr>
        <w:t>Ärzte</w:t>
      </w:r>
      <w:r>
        <w:rPr>
          <w:rFonts w:ascii="Arial" w:hAnsi="Arial" w:cs="Arial"/>
          <w:color w:val="FF0000"/>
          <w:sz w:val="24"/>
          <w:szCs w:val="24"/>
        </w:rPr>
        <w:t>,</w:t>
      </w:r>
      <w:r w:rsidRPr="005058F7">
        <w:rPr>
          <w:rFonts w:ascii="Arial" w:hAnsi="Arial" w:cs="Arial"/>
          <w:color w:val="FF0000"/>
          <w:sz w:val="24"/>
          <w:szCs w:val="24"/>
        </w:rPr>
        <w:t xml:space="preserve"> </w:t>
      </w:r>
      <w:r>
        <w:rPr>
          <w:rFonts w:ascii="Arial" w:hAnsi="Arial" w:cs="Arial"/>
          <w:color w:val="FF0000"/>
          <w:sz w:val="24"/>
          <w:szCs w:val="24"/>
        </w:rPr>
        <w:t xml:space="preserve">Krankentransporte </w:t>
      </w:r>
      <w:r w:rsidRPr="005058F7">
        <w:rPr>
          <w:rFonts w:ascii="Arial" w:hAnsi="Arial" w:cs="Arial"/>
          <w:color w:val="FF0000"/>
          <w:sz w:val="24"/>
          <w:szCs w:val="24"/>
        </w:rPr>
        <w:t>erbringen</w:t>
      </w:r>
      <w:r>
        <w:rPr>
          <w:rFonts w:ascii="Arial" w:hAnsi="Arial" w:cs="Arial"/>
          <w:color w:val="FF0000"/>
          <w:sz w:val="24"/>
          <w:szCs w:val="24"/>
        </w:rPr>
        <w:t xml:space="preserve"> </w:t>
      </w:r>
      <w:r w:rsidRPr="005058F7">
        <w:rPr>
          <w:rFonts w:ascii="Arial" w:hAnsi="Arial" w:cs="Arial"/>
          <w:color w:val="FF0000"/>
          <w:sz w:val="24"/>
          <w:szCs w:val="24"/>
        </w:rPr>
        <w:t>den Testnachweis durch die Testung Ihres eigenen Arbeitgebers. Der Nachweis ist</w:t>
      </w:r>
      <w:r>
        <w:rPr>
          <w:rFonts w:ascii="Arial" w:hAnsi="Arial" w:cs="Arial"/>
          <w:color w:val="FF0000"/>
          <w:sz w:val="24"/>
          <w:szCs w:val="24"/>
        </w:rPr>
        <w:t xml:space="preserve"> </w:t>
      </w:r>
      <w:r w:rsidRPr="005058F7">
        <w:rPr>
          <w:rFonts w:ascii="Arial" w:hAnsi="Arial" w:cs="Arial"/>
          <w:color w:val="FF0000"/>
          <w:sz w:val="24"/>
          <w:szCs w:val="24"/>
        </w:rPr>
        <w:t>auf Verlangen vorzulegen.</w:t>
      </w:r>
    </w:p>
    <w:p w:rsidR="009301AE" w:rsidRPr="005058F7" w:rsidRDefault="00975CB9" w:rsidP="009301AE">
      <w:pPr>
        <w:rPr>
          <w:rFonts w:ascii="Arial" w:hAnsi="Arial" w:cs="Arial"/>
          <w:sz w:val="24"/>
          <w:szCs w:val="24"/>
        </w:rPr>
      </w:pPr>
      <w:r w:rsidRPr="00A62944">
        <w:rPr>
          <w:rFonts w:ascii="Arial" w:hAnsi="Arial" w:cs="Arial"/>
          <w:color w:val="000000" w:themeColor="text1"/>
          <w:sz w:val="24"/>
          <w:szCs w:val="24"/>
        </w:rPr>
        <w:t xml:space="preserve">Bewohner </w:t>
      </w:r>
      <w:bookmarkStart w:id="4" w:name="_Hlk72125588"/>
      <w:r w:rsidR="00B60A5B" w:rsidRPr="00A62944">
        <w:rPr>
          <w:rFonts w:ascii="Arial" w:hAnsi="Arial" w:cs="Arial"/>
          <w:color w:val="000000" w:themeColor="text1"/>
          <w:sz w:val="24"/>
          <w:szCs w:val="24"/>
        </w:rPr>
        <w:t xml:space="preserve">die nicht vollständig geimpft </w:t>
      </w:r>
      <w:bookmarkEnd w:id="4"/>
      <w:r w:rsidR="00B60A5B" w:rsidRPr="00A62944">
        <w:rPr>
          <w:rFonts w:ascii="Arial" w:hAnsi="Arial" w:cs="Arial"/>
          <w:color w:val="000000" w:themeColor="text1"/>
          <w:sz w:val="24"/>
          <w:szCs w:val="24"/>
        </w:rPr>
        <w:t>sind und</w:t>
      </w:r>
      <w:r w:rsidRPr="00A62944">
        <w:rPr>
          <w:rFonts w:ascii="Arial" w:hAnsi="Arial" w:cs="Arial"/>
          <w:color w:val="000000" w:themeColor="text1"/>
          <w:sz w:val="24"/>
          <w:szCs w:val="24"/>
        </w:rPr>
        <w:t xml:space="preserve"> unsere Einrichtung verlassen z. B. </w:t>
      </w:r>
      <w:r w:rsidR="00B60A5B" w:rsidRPr="00A62944">
        <w:rPr>
          <w:rFonts w:ascii="Arial" w:hAnsi="Arial" w:cs="Arial"/>
          <w:color w:val="000000" w:themeColor="text1"/>
          <w:sz w:val="24"/>
          <w:szCs w:val="24"/>
        </w:rPr>
        <w:t xml:space="preserve">Krankenhausaufenthalt </w:t>
      </w:r>
      <w:r w:rsidRPr="00A62944">
        <w:rPr>
          <w:rFonts w:ascii="Arial" w:hAnsi="Arial" w:cs="Arial"/>
          <w:color w:val="000000" w:themeColor="text1"/>
          <w:sz w:val="24"/>
          <w:szCs w:val="24"/>
        </w:rPr>
        <w:t xml:space="preserve">werden vor </w:t>
      </w:r>
      <w:r w:rsidR="00A37AD6" w:rsidRPr="00A62944">
        <w:rPr>
          <w:rFonts w:ascii="Arial" w:hAnsi="Arial" w:cs="Arial"/>
          <w:color w:val="000000" w:themeColor="text1"/>
          <w:sz w:val="24"/>
          <w:szCs w:val="24"/>
        </w:rPr>
        <w:t>W</w:t>
      </w:r>
      <w:r w:rsidRPr="00A62944">
        <w:rPr>
          <w:rFonts w:ascii="Arial" w:hAnsi="Arial" w:cs="Arial"/>
          <w:color w:val="000000" w:themeColor="text1"/>
          <w:sz w:val="24"/>
          <w:szCs w:val="24"/>
        </w:rPr>
        <w:t>ieder</w:t>
      </w:r>
      <w:r w:rsidR="00A37AD6" w:rsidRPr="00A62944">
        <w:rPr>
          <w:rFonts w:ascii="Arial" w:hAnsi="Arial" w:cs="Arial"/>
          <w:color w:val="000000" w:themeColor="text1"/>
          <w:sz w:val="24"/>
          <w:szCs w:val="24"/>
        </w:rPr>
        <w:t>e</w:t>
      </w:r>
      <w:r w:rsidRPr="00A62944">
        <w:rPr>
          <w:rFonts w:ascii="Arial" w:hAnsi="Arial" w:cs="Arial"/>
          <w:color w:val="000000" w:themeColor="text1"/>
          <w:sz w:val="24"/>
          <w:szCs w:val="24"/>
        </w:rPr>
        <w:t>intritt getestet.</w:t>
      </w:r>
      <w:r w:rsidR="002E01EF" w:rsidRPr="00A62944">
        <w:rPr>
          <w:rFonts w:ascii="Arial" w:hAnsi="Arial" w:cs="Arial"/>
          <w:color w:val="000000" w:themeColor="text1"/>
          <w:sz w:val="24"/>
          <w:szCs w:val="24"/>
        </w:rPr>
        <w:t xml:space="preserve"> </w:t>
      </w:r>
      <w:r w:rsidR="0032428A" w:rsidRPr="00A62944">
        <w:rPr>
          <w:rFonts w:ascii="Arial" w:hAnsi="Arial" w:cs="Arial"/>
          <w:color w:val="000000" w:themeColor="text1"/>
          <w:sz w:val="24"/>
          <w:szCs w:val="24"/>
        </w:rPr>
        <w:t xml:space="preserve">Die Testung findet am ersten, fünften und zehnten Tag statt. Die </w:t>
      </w:r>
      <w:r w:rsidR="0030538D" w:rsidRPr="00A62944">
        <w:rPr>
          <w:rFonts w:ascii="Arial" w:hAnsi="Arial" w:cs="Arial"/>
          <w:color w:val="000000" w:themeColor="text1"/>
          <w:sz w:val="24"/>
          <w:szCs w:val="24"/>
        </w:rPr>
        <w:t>Testung wird</w:t>
      </w:r>
      <w:r w:rsidR="00557B87" w:rsidRPr="00A62944">
        <w:rPr>
          <w:rFonts w:ascii="Arial" w:hAnsi="Arial" w:cs="Arial"/>
          <w:color w:val="000000" w:themeColor="text1"/>
          <w:sz w:val="24"/>
          <w:szCs w:val="24"/>
        </w:rPr>
        <w:t xml:space="preserve"> </w:t>
      </w:r>
      <w:r w:rsidR="0030538D" w:rsidRPr="00A62944">
        <w:rPr>
          <w:rFonts w:ascii="Arial" w:hAnsi="Arial" w:cs="Arial"/>
          <w:color w:val="000000" w:themeColor="text1"/>
          <w:sz w:val="24"/>
          <w:szCs w:val="24"/>
        </w:rPr>
        <w:t>unter besonderen Hygienevorschriften</w:t>
      </w:r>
      <w:r w:rsidR="00557B87" w:rsidRPr="00A62944">
        <w:rPr>
          <w:rFonts w:ascii="Arial" w:hAnsi="Arial" w:cs="Arial"/>
          <w:color w:val="000000" w:themeColor="text1"/>
          <w:sz w:val="24"/>
          <w:szCs w:val="24"/>
        </w:rPr>
        <w:t xml:space="preserve"> im Bewohnerzimmer</w:t>
      </w:r>
      <w:r w:rsidR="0030538D" w:rsidRPr="00A62944">
        <w:rPr>
          <w:rFonts w:ascii="Arial" w:hAnsi="Arial" w:cs="Arial"/>
          <w:color w:val="000000" w:themeColor="text1"/>
          <w:sz w:val="24"/>
          <w:szCs w:val="24"/>
        </w:rPr>
        <w:t xml:space="preserve"> </w:t>
      </w:r>
      <w:r w:rsidR="00557B87" w:rsidRPr="00A62944">
        <w:rPr>
          <w:rFonts w:ascii="Arial" w:hAnsi="Arial" w:cs="Arial"/>
          <w:color w:val="000000" w:themeColor="text1"/>
          <w:sz w:val="24"/>
          <w:szCs w:val="24"/>
        </w:rPr>
        <w:t>durchgeführt</w:t>
      </w:r>
      <w:r w:rsidR="0030538D" w:rsidRPr="00A62944">
        <w:rPr>
          <w:rFonts w:ascii="Arial" w:hAnsi="Arial" w:cs="Arial"/>
          <w:color w:val="000000" w:themeColor="text1"/>
          <w:sz w:val="24"/>
          <w:szCs w:val="24"/>
        </w:rPr>
        <w:t>.</w:t>
      </w:r>
      <w:r w:rsidRPr="00A62944">
        <w:rPr>
          <w:rFonts w:ascii="Arial" w:hAnsi="Arial" w:cs="Arial"/>
          <w:color w:val="000000" w:themeColor="text1"/>
          <w:sz w:val="24"/>
          <w:szCs w:val="24"/>
        </w:rPr>
        <w:t xml:space="preserve"> </w:t>
      </w:r>
      <w:r w:rsidR="00F2446C" w:rsidRPr="00A62944">
        <w:rPr>
          <w:rFonts w:ascii="Arial" w:hAnsi="Arial" w:cs="Arial"/>
          <w:color w:val="000000" w:themeColor="text1"/>
          <w:sz w:val="24"/>
          <w:szCs w:val="24"/>
        </w:rPr>
        <w:t xml:space="preserve">Falls </w:t>
      </w:r>
      <w:r w:rsidR="00A37AD6" w:rsidRPr="00A62944">
        <w:rPr>
          <w:rFonts w:ascii="Arial" w:hAnsi="Arial" w:cs="Arial"/>
          <w:color w:val="000000" w:themeColor="text1"/>
          <w:sz w:val="24"/>
          <w:szCs w:val="24"/>
        </w:rPr>
        <w:t xml:space="preserve">ein </w:t>
      </w:r>
      <w:r w:rsidR="00F2446C" w:rsidRPr="00A62944">
        <w:rPr>
          <w:rFonts w:ascii="Arial" w:hAnsi="Arial" w:cs="Arial"/>
          <w:color w:val="000000" w:themeColor="text1"/>
          <w:sz w:val="24"/>
          <w:szCs w:val="24"/>
        </w:rPr>
        <w:t>Bewohner in der Nacht die Einrichtung verlassen muss (z.B. Krankenhausaufenthalt nach Sturz)</w:t>
      </w:r>
      <w:r w:rsidR="00A37AD6" w:rsidRPr="00A62944">
        <w:rPr>
          <w:rFonts w:ascii="Arial" w:hAnsi="Arial" w:cs="Arial"/>
          <w:color w:val="000000" w:themeColor="text1"/>
          <w:sz w:val="24"/>
          <w:szCs w:val="24"/>
        </w:rPr>
        <w:t>,</w:t>
      </w:r>
      <w:r w:rsidR="00F2446C" w:rsidRPr="00A62944">
        <w:rPr>
          <w:rFonts w:ascii="Arial" w:hAnsi="Arial" w:cs="Arial"/>
          <w:color w:val="000000" w:themeColor="text1"/>
          <w:sz w:val="24"/>
          <w:szCs w:val="24"/>
        </w:rPr>
        <w:t xml:space="preserve"> wird dieser am darauffolgenden Tag getestet und muss bis zu dieser Zeit sich in</w:t>
      </w:r>
      <w:r w:rsidR="00A37AD6" w:rsidRPr="00A62944">
        <w:rPr>
          <w:rFonts w:ascii="Arial" w:hAnsi="Arial" w:cs="Arial"/>
          <w:color w:val="000000" w:themeColor="text1"/>
          <w:sz w:val="24"/>
          <w:szCs w:val="24"/>
        </w:rPr>
        <w:t xml:space="preserve"> die</w:t>
      </w:r>
      <w:r w:rsidR="00F2446C" w:rsidRPr="00A62944">
        <w:rPr>
          <w:rFonts w:ascii="Arial" w:hAnsi="Arial" w:cs="Arial"/>
          <w:color w:val="000000" w:themeColor="text1"/>
          <w:sz w:val="24"/>
          <w:szCs w:val="24"/>
        </w:rPr>
        <w:t xml:space="preserve"> </w:t>
      </w:r>
      <w:r w:rsidR="00F2446C" w:rsidRPr="00A62944">
        <w:rPr>
          <w:rFonts w:ascii="Arial" w:hAnsi="Arial" w:cs="Arial"/>
          <w:color w:val="000000" w:themeColor="text1"/>
          <w:sz w:val="24"/>
          <w:szCs w:val="24"/>
        </w:rPr>
        <w:lastRenderedPageBreak/>
        <w:t>Zimmerisolation begeben.</w:t>
      </w:r>
      <w:r w:rsidR="00B60A5B" w:rsidRPr="00A62944">
        <w:rPr>
          <w:rFonts w:ascii="Arial" w:hAnsi="Arial" w:cs="Arial"/>
          <w:color w:val="000000" w:themeColor="text1"/>
          <w:sz w:val="24"/>
          <w:szCs w:val="24"/>
        </w:rPr>
        <w:t xml:space="preserve"> Gleiches gilt auch für Bewohner die in unsere Einrichtung einziehen, die nicht vollständig geimpft sind.</w:t>
      </w:r>
      <w:r w:rsidR="00F2446C" w:rsidRPr="00595B3E">
        <w:rPr>
          <w:rFonts w:ascii="Arial" w:hAnsi="Arial" w:cs="Arial"/>
          <w:color w:val="FF0000"/>
          <w:sz w:val="24"/>
          <w:szCs w:val="24"/>
        </w:rPr>
        <w:t xml:space="preserve"> </w:t>
      </w:r>
      <w:r w:rsidR="00F2446C" w:rsidRPr="00595B3E">
        <w:rPr>
          <w:rFonts w:ascii="Arial" w:hAnsi="Arial" w:cs="Arial"/>
          <w:sz w:val="24"/>
          <w:szCs w:val="24"/>
        </w:rPr>
        <w:t>Hierfür müssen</w:t>
      </w:r>
      <w:r w:rsidR="00F83E31" w:rsidRPr="00595B3E">
        <w:rPr>
          <w:rFonts w:ascii="Arial" w:hAnsi="Arial" w:cs="Arial"/>
          <w:sz w:val="24"/>
          <w:szCs w:val="24"/>
        </w:rPr>
        <w:t xml:space="preserve"> sich</w:t>
      </w:r>
      <w:r w:rsidR="00F2446C" w:rsidRPr="00595B3E">
        <w:rPr>
          <w:rFonts w:ascii="Arial" w:hAnsi="Arial" w:cs="Arial"/>
          <w:sz w:val="24"/>
          <w:szCs w:val="24"/>
        </w:rPr>
        <w:t xml:space="preserve"> alle Mitarbeiter nach dem Hygieneplan unter </w:t>
      </w:r>
      <w:hyperlink r:id="rId9" w:history="1">
        <w:r w:rsidR="00F2446C" w:rsidRPr="00595B3E">
          <w:rPr>
            <w:rStyle w:val="Hyperlink"/>
            <w:rFonts w:ascii="Arial" w:hAnsi="Arial" w:cs="Arial"/>
            <w:b/>
            <w:i/>
            <w:sz w:val="24"/>
            <w:szCs w:val="24"/>
          </w:rPr>
          <w:t>8.3 Schutzkleidung für Mitarbeiter, die in Quarantänezimmern arbeiten</w:t>
        </w:r>
      </w:hyperlink>
      <w:r w:rsidR="00F2446C" w:rsidRPr="00595B3E">
        <w:rPr>
          <w:rFonts w:ascii="Arial" w:hAnsi="Arial" w:cs="Arial"/>
          <w:b/>
          <w:i/>
          <w:color w:val="4F81BD" w:themeColor="accent1"/>
          <w:sz w:val="24"/>
          <w:szCs w:val="24"/>
        </w:rPr>
        <w:t xml:space="preserve"> </w:t>
      </w:r>
      <w:r w:rsidR="00F83E31" w:rsidRPr="00595B3E">
        <w:rPr>
          <w:rFonts w:ascii="Arial" w:hAnsi="Arial" w:cs="Arial"/>
          <w:sz w:val="24"/>
          <w:szCs w:val="24"/>
        </w:rPr>
        <w:t>halten</w:t>
      </w:r>
      <w:r w:rsidR="00F2446C" w:rsidRPr="00595B3E">
        <w:rPr>
          <w:rFonts w:ascii="Arial" w:hAnsi="Arial" w:cs="Arial"/>
          <w:sz w:val="24"/>
          <w:szCs w:val="24"/>
        </w:rPr>
        <w:t>.</w:t>
      </w:r>
    </w:p>
    <w:p w:rsidR="00975CB9" w:rsidRDefault="00975CB9" w:rsidP="009301AE">
      <w:pPr>
        <w:rPr>
          <w:rFonts w:ascii="Arial" w:hAnsi="Arial" w:cs="Arial"/>
          <w:sz w:val="24"/>
          <w:szCs w:val="24"/>
        </w:rPr>
      </w:pPr>
      <w:r w:rsidRPr="00E45DAF">
        <w:rPr>
          <w:rFonts w:ascii="Arial" w:hAnsi="Arial" w:cs="Arial"/>
          <w:sz w:val="24"/>
          <w:szCs w:val="24"/>
        </w:rPr>
        <w:t>Die Anwendung eines PoC-Antigen-Tests dauert je nach Hersteller insgesamt etwa 20 Minute.</w:t>
      </w:r>
    </w:p>
    <w:p w:rsidR="00D704AD" w:rsidRPr="00A62944" w:rsidRDefault="005058F7" w:rsidP="00F216E5">
      <w:pPr>
        <w:rPr>
          <w:rFonts w:ascii="Arial" w:hAnsi="Arial" w:cs="Arial"/>
          <w:color w:val="000000" w:themeColor="text1"/>
          <w:sz w:val="24"/>
          <w:szCs w:val="24"/>
        </w:rPr>
      </w:pPr>
      <w:r>
        <w:rPr>
          <w:rFonts w:ascii="Arial" w:hAnsi="Arial" w:cs="Arial"/>
          <w:color w:val="000000" w:themeColor="text1"/>
          <w:sz w:val="24"/>
          <w:szCs w:val="24"/>
        </w:rPr>
        <w:t xml:space="preserve">Am Haupteingang wurde eine Teststation errichtet, </w:t>
      </w:r>
      <w:r w:rsidR="00CC2B3C" w:rsidRPr="00A62944">
        <w:rPr>
          <w:rFonts w:ascii="Arial" w:hAnsi="Arial" w:cs="Arial"/>
          <w:color w:val="000000" w:themeColor="text1"/>
          <w:sz w:val="24"/>
          <w:szCs w:val="24"/>
        </w:rPr>
        <w:t>dass jeder Mitarbeiter oder externe Person sich vor Eintritt in die Einrichtung testen lassen kann. Nach dem durchgeführten Test begeben sich die getesteten Personen nach draußen und warten auf das Ergebnis. Dort können sie unter Einhaltung von Abstand sich aufhalten, ohne einem erhöhten Infektionsrisiko ausgesetzt zu sein bzw. ohne eine evtl. bestehende Infektion zu übertragen.</w:t>
      </w:r>
    </w:p>
    <w:p w:rsidR="00D704AD" w:rsidRPr="00E45DAF" w:rsidRDefault="00D704AD" w:rsidP="00F216E5">
      <w:pPr>
        <w:rPr>
          <w:rFonts w:ascii="Arial" w:hAnsi="Arial" w:cs="Arial"/>
          <w:sz w:val="24"/>
          <w:szCs w:val="24"/>
        </w:rPr>
      </w:pPr>
    </w:p>
    <w:p w:rsidR="00D704AD" w:rsidRPr="00E45DAF" w:rsidRDefault="00D704AD" w:rsidP="00F83E31">
      <w:pPr>
        <w:pStyle w:val="berschrift1"/>
        <w:rPr>
          <w:rFonts w:ascii="Arial" w:hAnsi="Arial" w:cs="Arial"/>
        </w:rPr>
      </w:pPr>
      <w:bookmarkStart w:id="5" w:name="_Toc88571780"/>
      <w:r w:rsidRPr="00E45DAF">
        <w:rPr>
          <w:rFonts w:ascii="Arial" w:hAnsi="Arial" w:cs="Arial"/>
        </w:rPr>
        <w:t>5.</w:t>
      </w:r>
      <w:r w:rsidR="00F83E31" w:rsidRPr="00E45DAF">
        <w:rPr>
          <w:rFonts w:ascii="Arial" w:hAnsi="Arial" w:cs="Arial"/>
        </w:rPr>
        <w:t xml:space="preserve"> Dokumentation und Umgang mit positiven PoC-Antigen-Tests Ergebnissen</w:t>
      </w:r>
      <w:bookmarkEnd w:id="5"/>
    </w:p>
    <w:p w:rsidR="00F83E31" w:rsidRPr="00E45DAF" w:rsidRDefault="00F83E31" w:rsidP="00F83E31">
      <w:pPr>
        <w:rPr>
          <w:rFonts w:ascii="Arial" w:hAnsi="Arial" w:cs="Arial"/>
        </w:rPr>
      </w:pPr>
    </w:p>
    <w:p w:rsidR="00483B74" w:rsidRPr="00A62944" w:rsidRDefault="00483B74" w:rsidP="00D704AD">
      <w:pPr>
        <w:rPr>
          <w:rFonts w:ascii="Arial" w:hAnsi="Arial" w:cs="Arial"/>
          <w:color w:val="000000" w:themeColor="text1"/>
          <w:sz w:val="24"/>
          <w:szCs w:val="24"/>
        </w:rPr>
      </w:pPr>
      <w:r w:rsidRPr="00A62944">
        <w:rPr>
          <w:rFonts w:ascii="Arial" w:hAnsi="Arial" w:cs="Arial"/>
          <w:color w:val="000000" w:themeColor="text1"/>
          <w:sz w:val="24"/>
          <w:szCs w:val="24"/>
        </w:rPr>
        <w:t xml:space="preserve">Eine umfassende Dokumentation aller durchgeführten Testergebnisse ist erforderlich, damit die Einrichtung eine Übersicht darüber hat, wer, wann und mit welchem Ergebnis getestet wurde. Hierfür wird das Onlineportal https://www.besuchsplan.de/besuchsplan/tests genutzt und alle Tests sowie Ergebnisse dokumentiert. </w:t>
      </w:r>
    </w:p>
    <w:p w:rsidR="00A87A00" w:rsidRDefault="00D704AD" w:rsidP="00D704AD">
      <w:pPr>
        <w:rPr>
          <w:rFonts w:ascii="Arial" w:hAnsi="Arial" w:cs="Arial"/>
          <w:color w:val="000000" w:themeColor="text1"/>
          <w:sz w:val="24"/>
          <w:szCs w:val="24"/>
        </w:rPr>
      </w:pPr>
      <w:r w:rsidRPr="00E45DAF">
        <w:rPr>
          <w:rFonts w:ascii="Arial" w:hAnsi="Arial" w:cs="Arial"/>
          <w:sz w:val="24"/>
          <w:szCs w:val="24"/>
        </w:rPr>
        <w:t>Das Test-Ergebnis ist dem Getesteten umgehend mitzuteilen. Im Falle eines positiven PoC</w:t>
      </w:r>
      <w:r w:rsidR="00A87A00">
        <w:rPr>
          <w:rFonts w:ascii="Arial" w:hAnsi="Arial" w:cs="Arial"/>
          <w:sz w:val="24"/>
          <w:szCs w:val="24"/>
        </w:rPr>
        <w:t xml:space="preserve"> </w:t>
      </w:r>
      <w:r w:rsidRPr="00E45DAF">
        <w:rPr>
          <w:rFonts w:ascii="Arial" w:hAnsi="Arial" w:cs="Arial"/>
          <w:sz w:val="24"/>
          <w:szCs w:val="24"/>
        </w:rPr>
        <w:t xml:space="preserve">Antigen-Testergebnisses ist unverzüglich Kontakt mit </w:t>
      </w:r>
      <w:r w:rsidR="005C5C29" w:rsidRPr="00E45DAF">
        <w:rPr>
          <w:rFonts w:ascii="Arial" w:hAnsi="Arial" w:cs="Arial"/>
          <w:sz w:val="24"/>
          <w:szCs w:val="24"/>
        </w:rPr>
        <w:t>der Einrichtun</w:t>
      </w:r>
      <w:r w:rsidR="00F9114A">
        <w:rPr>
          <w:rFonts w:ascii="Arial" w:hAnsi="Arial" w:cs="Arial"/>
          <w:sz w:val="24"/>
          <w:szCs w:val="24"/>
        </w:rPr>
        <w:t>g</w:t>
      </w:r>
      <w:r w:rsidR="005C5C29" w:rsidRPr="00E45DAF">
        <w:rPr>
          <w:rFonts w:ascii="Arial" w:hAnsi="Arial" w:cs="Arial"/>
          <w:sz w:val="24"/>
          <w:szCs w:val="24"/>
        </w:rPr>
        <w:t>sleitung</w:t>
      </w:r>
      <w:r w:rsidRPr="00E45DAF">
        <w:rPr>
          <w:rFonts w:ascii="Arial" w:hAnsi="Arial" w:cs="Arial"/>
          <w:sz w:val="24"/>
          <w:szCs w:val="24"/>
        </w:rPr>
        <w:t xml:space="preserve"> aufzunehmen, die </w:t>
      </w:r>
      <w:r w:rsidR="00F83E31" w:rsidRPr="00E45DAF">
        <w:rPr>
          <w:rFonts w:ascii="Arial" w:hAnsi="Arial" w:cs="Arial"/>
          <w:sz w:val="24"/>
          <w:szCs w:val="24"/>
        </w:rPr>
        <w:t>das zuständige Gesundheitsamt</w:t>
      </w:r>
      <w:r w:rsidRPr="00E45DAF">
        <w:rPr>
          <w:rFonts w:ascii="Arial" w:hAnsi="Arial" w:cs="Arial"/>
          <w:sz w:val="24"/>
          <w:szCs w:val="24"/>
        </w:rPr>
        <w:t xml:space="preserve"> informiert.</w:t>
      </w:r>
      <w:r w:rsidR="00A87A00">
        <w:rPr>
          <w:rFonts w:ascii="Arial" w:hAnsi="Arial" w:cs="Arial"/>
          <w:sz w:val="24"/>
          <w:szCs w:val="24"/>
        </w:rPr>
        <w:t xml:space="preserve"> </w:t>
      </w:r>
      <w:r w:rsidR="00A87A00" w:rsidRPr="001E4FAF">
        <w:rPr>
          <w:rFonts w:ascii="Arial" w:hAnsi="Arial" w:cs="Arial"/>
          <w:color w:val="000000" w:themeColor="text1"/>
          <w:sz w:val="24"/>
          <w:szCs w:val="24"/>
        </w:rPr>
        <w:t xml:space="preserve">Außerdem erhält der positiv Getestete ein Informationsschreiben vom Hessischen Ministerium über Konsequenzen und Pflichten. </w:t>
      </w:r>
    </w:p>
    <w:p w:rsidR="00CE7284" w:rsidRDefault="00CE7284" w:rsidP="00D704AD">
      <w:pPr>
        <w:rPr>
          <w:rFonts w:ascii="Arial" w:hAnsi="Arial" w:cs="Arial"/>
          <w:sz w:val="24"/>
          <w:szCs w:val="24"/>
        </w:rPr>
      </w:pPr>
    </w:p>
    <w:p w:rsidR="00CE7284" w:rsidRDefault="00CE7284" w:rsidP="00CE7284">
      <w:pPr>
        <w:pStyle w:val="berschrift1"/>
        <w:rPr>
          <w:rFonts w:ascii="Arial" w:hAnsi="Arial" w:cs="Arial"/>
        </w:rPr>
      </w:pPr>
      <w:bookmarkStart w:id="6" w:name="_Toc88571781"/>
      <w:r w:rsidRPr="00CE7284">
        <w:rPr>
          <w:rFonts w:ascii="Arial" w:hAnsi="Arial" w:cs="Arial"/>
        </w:rPr>
        <w:t>6.</w:t>
      </w:r>
      <w:r w:rsidRPr="00CE7284">
        <w:rPr>
          <w:rFonts w:ascii="Arial" w:hAnsi="Arial" w:cs="Arial"/>
        </w:rPr>
        <w:t xml:space="preserve"> Übermittlungspflichten</w:t>
      </w:r>
      <w:bookmarkEnd w:id="6"/>
    </w:p>
    <w:p w:rsidR="00CE7284" w:rsidRPr="00CE7284" w:rsidRDefault="00CE7284" w:rsidP="00CE7284"/>
    <w:p w:rsidR="00CE7284" w:rsidRPr="00CE7284" w:rsidRDefault="00CE7284" w:rsidP="00CE7284">
      <w:pPr>
        <w:rPr>
          <w:rFonts w:ascii="Arial" w:hAnsi="Arial" w:cs="Arial"/>
          <w:color w:val="FF0000"/>
          <w:sz w:val="24"/>
          <w:szCs w:val="24"/>
        </w:rPr>
      </w:pPr>
      <w:r w:rsidRPr="00CE7284">
        <w:rPr>
          <w:rFonts w:ascii="Arial" w:hAnsi="Arial" w:cs="Arial"/>
          <w:color w:val="FF0000"/>
          <w:sz w:val="24"/>
          <w:szCs w:val="24"/>
        </w:rPr>
        <w:t>Die Einrichtungen sind verpflichtet, der zuständigen Behörde zweiwöchentlich folgende</w:t>
      </w:r>
      <w:r w:rsidRPr="00CE7284">
        <w:rPr>
          <w:rFonts w:ascii="Arial" w:hAnsi="Arial" w:cs="Arial"/>
          <w:color w:val="FF0000"/>
          <w:sz w:val="24"/>
          <w:szCs w:val="24"/>
        </w:rPr>
        <w:t xml:space="preserve"> </w:t>
      </w:r>
      <w:r w:rsidRPr="00CE7284">
        <w:rPr>
          <w:rFonts w:ascii="Arial" w:hAnsi="Arial" w:cs="Arial"/>
          <w:color w:val="FF0000"/>
          <w:sz w:val="24"/>
          <w:szCs w:val="24"/>
        </w:rPr>
        <w:t>Angaben in anonymisierter Form zu übermitteln:</w:t>
      </w:r>
    </w:p>
    <w:p w:rsidR="00CE7284" w:rsidRPr="00CE7284" w:rsidRDefault="00CE7284" w:rsidP="00CE7284">
      <w:pPr>
        <w:pStyle w:val="Listenabsatz"/>
        <w:numPr>
          <w:ilvl w:val="0"/>
          <w:numId w:val="7"/>
        </w:numPr>
        <w:rPr>
          <w:rFonts w:ascii="Arial" w:hAnsi="Arial" w:cs="Arial"/>
          <w:color w:val="FF0000"/>
          <w:sz w:val="24"/>
          <w:szCs w:val="24"/>
        </w:rPr>
      </w:pPr>
      <w:r w:rsidRPr="00CE7284">
        <w:rPr>
          <w:rFonts w:ascii="Arial" w:hAnsi="Arial" w:cs="Arial"/>
          <w:color w:val="FF0000"/>
          <w:sz w:val="24"/>
          <w:szCs w:val="24"/>
        </w:rPr>
        <w:t>Angaben zu den durchgeführten Testungen, jeweils bezogen auf Personen,</w:t>
      </w:r>
      <w:r w:rsidRPr="00CE7284">
        <w:rPr>
          <w:rFonts w:ascii="Arial" w:hAnsi="Arial" w:cs="Arial"/>
          <w:color w:val="FF0000"/>
          <w:sz w:val="24"/>
          <w:szCs w:val="24"/>
        </w:rPr>
        <w:t xml:space="preserve"> </w:t>
      </w:r>
      <w:r w:rsidRPr="00CE7284">
        <w:rPr>
          <w:rFonts w:ascii="Arial" w:hAnsi="Arial" w:cs="Arial"/>
          <w:color w:val="FF0000"/>
          <w:sz w:val="24"/>
          <w:szCs w:val="24"/>
        </w:rPr>
        <w:t>die in der Einrichtung oder dem Unternehmen beschäftigt sind oder behandelt,</w:t>
      </w:r>
    </w:p>
    <w:p w:rsidR="00CE7284" w:rsidRPr="00CE7284" w:rsidRDefault="00CE7284" w:rsidP="00CE7284">
      <w:pPr>
        <w:rPr>
          <w:rFonts w:ascii="Arial" w:hAnsi="Arial" w:cs="Arial"/>
          <w:color w:val="FF0000"/>
          <w:sz w:val="24"/>
          <w:szCs w:val="24"/>
        </w:rPr>
      </w:pPr>
      <w:r w:rsidRPr="00CE7284">
        <w:rPr>
          <w:rFonts w:ascii="Arial" w:hAnsi="Arial" w:cs="Arial"/>
          <w:color w:val="FF0000"/>
          <w:sz w:val="24"/>
          <w:szCs w:val="24"/>
        </w:rPr>
        <w:lastRenderedPageBreak/>
        <w:t>betreut oder gepflegt werden oder untergebracht sind, sowie bezogen auf Besuchspersonen</w:t>
      </w:r>
      <w:r w:rsidRPr="00CE7284">
        <w:rPr>
          <w:rFonts w:ascii="Arial" w:hAnsi="Arial" w:cs="Arial"/>
          <w:color w:val="FF0000"/>
          <w:sz w:val="24"/>
          <w:szCs w:val="24"/>
        </w:rPr>
        <w:t xml:space="preserve"> </w:t>
      </w:r>
      <w:r w:rsidRPr="00CE7284">
        <w:rPr>
          <w:rFonts w:ascii="Arial" w:hAnsi="Arial" w:cs="Arial"/>
          <w:color w:val="FF0000"/>
          <w:sz w:val="24"/>
          <w:szCs w:val="24"/>
        </w:rPr>
        <w:t>un</w:t>
      </w:r>
      <w:r w:rsidRPr="00CE7284">
        <w:rPr>
          <w:rFonts w:ascii="Arial" w:hAnsi="Arial" w:cs="Arial"/>
          <w:color w:val="FF0000"/>
          <w:sz w:val="24"/>
          <w:szCs w:val="24"/>
        </w:rPr>
        <w:t>d</w:t>
      </w:r>
    </w:p>
    <w:p w:rsidR="00CE7284" w:rsidRPr="00CE7284" w:rsidRDefault="00CE7284" w:rsidP="00CE7284">
      <w:pPr>
        <w:pStyle w:val="Listenabsatz"/>
        <w:numPr>
          <w:ilvl w:val="0"/>
          <w:numId w:val="7"/>
        </w:numPr>
        <w:rPr>
          <w:rFonts w:ascii="Arial" w:hAnsi="Arial" w:cs="Arial"/>
          <w:color w:val="FF0000"/>
          <w:sz w:val="24"/>
          <w:szCs w:val="24"/>
        </w:rPr>
      </w:pPr>
      <w:r w:rsidRPr="00CE7284">
        <w:rPr>
          <w:rFonts w:ascii="Arial" w:hAnsi="Arial" w:cs="Arial"/>
          <w:color w:val="FF0000"/>
          <w:sz w:val="24"/>
          <w:szCs w:val="24"/>
        </w:rPr>
        <w:t>Angaben zum Anteil der Personen, die gegen das Coronavirus SARS-CoV-2</w:t>
      </w:r>
      <w:r w:rsidRPr="00CE7284">
        <w:rPr>
          <w:rFonts w:ascii="Arial" w:hAnsi="Arial" w:cs="Arial"/>
          <w:color w:val="FF0000"/>
          <w:sz w:val="24"/>
          <w:szCs w:val="24"/>
        </w:rPr>
        <w:t xml:space="preserve"> </w:t>
      </w:r>
      <w:r w:rsidRPr="00CE7284">
        <w:rPr>
          <w:rFonts w:ascii="Arial" w:hAnsi="Arial" w:cs="Arial"/>
          <w:color w:val="FF0000"/>
          <w:sz w:val="24"/>
          <w:szCs w:val="24"/>
        </w:rPr>
        <w:t>geimpft sind, jeweils bezogen auf die Personen, die in der Einrichtung oder</w:t>
      </w:r>
      <w:r w:rsidRPr="00CE7284">
        <w:rPr>
          <w:rFonts w:ascii="Arial" w:hAnsi="Arial" w:cs="Arial"/>
          <w:color w:val="FF0000"/>
          <w:sz w:val="24"/>
          <w:szCs w:val="24"/>
        </w:rPr>
        <w:t xml:space="preserve"> </w:t>
      </w:r>
      <w:r w:rsidRPr="00CE7284">
        <w:rPr>
          <w:rFonts w:ascii="Arial" w:hAnsi="Arial" w:cs="Arial"/>
          <w:color w:val="FF0000"/>
          <w:sz w:val="24"/>
          <w:szCs w:val="24"/>
        </w:rPr>
        <w:t>dem Unternehmen beschäftigt sind oder behandelt, betreut oder gepflegt werden</w:t>
      </w:r>
      <w:r w:rsidRPr="00CE7284">
        <w:rPr>
          <w:rFonts w:ascii="Arial" w:hAnsi="Arial" w:cs="Arial"/>
          <w:color w:val="FF0000"/>
          <w:sz w:val="24"/>
          <w:szCs w:val="24"/>
        </w:rPr>
        <w:t xml:space="preserve"> </w:t>
      </w:r>
      <w:r w:rsidRPr="00CE7284">
        <w:rPr>
          <w:rFonts w:ascii="Arial" w:hAnsi="Arial" w:cs="Arial"/>
          <w:color w:val="FF0000"/>
          <w:sz w:val="24"/>
          <w:szCs w:val="24"/>
        </w:rPr>
        <w:t>oder untergebracht sind.</w:t>
      </w:r>
    </w:p>
    <w:p w:rsidR="00F83E31" w:rsidRPr="00E45DAF" w:rsidRDefault="00F83E31" w:rsidP="00F83E31">
      <w:pPr>
        <w:rPr>
          <w:rFonts w:ascii="Arial" w:hAnsi="Arial" w:cs="Arial"/>
        </w:rPr>
      </w:pPr>
    </w:p>
    <w:p w:rsidR="00F83E31" w:rsidRPr="00E45DAF" w:rsidRDefault="00F83E31" w:rsidP="00F83E31">
      <w:pPr>
        <w:rPr>
          <w:rFonts w:ascii="Arial" w:hAnsi="Arial" w:cs="Arial"/>
        </w:rPr>
      </w:pPr>
      <w:bookmarkStart w:id="7" w:name="_GoBack"/>
      <w:bookmarkEnd w:id="7"/>
    </w:p>
    <w:sectPr w:rsidR="00F83E31" w:rsidRPr="00E45DA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BC3" w:rsidRDefault="00665BC3" w:rsidP="008C18F7">
      <w:pPr>
        <w:spacing w:after="0" w:line="240" w:lineRule="auto"/>
      </w:pPr>
      <w:r>
        <w:separator/>
      </w:r>
    </w:p>
  </w:endnote>
  <w:endnote w:type="continuationSeparator" w:id="0">
    <w:p w:rsidR="00665BC3" w:rsidRDefault="00665BC3" w:rsidP="008C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764"/>
      <w:gridCol w:w="1938"/>
      <w:gridCol w:w="1327"/>
      <w:gridCol w:w="1146"/>
      <w:gridCol w:w="1599"/>
      <w:gridCol w:w="1865"/>
    </w:tblGrid>
    <w:tr w:rsidR="008C18F7" w:rsidRPr="008C18F7" w:rsidTr="00CD2B25">
      <w:tc>
        <w:tcPr>
          <w:tcW w:w="1764"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r w:rsidRPr="008C18F7">
            <w:rPr>
              <w:rFonts w:ascii="Arial" w:eastAsia="Times New Roman" w:hAnsi="Arial" w:cs="Arial"/>
              <w:bCs/>
              <w:sz w:val="18"/>
              <w:szCs w:val="18"/>
              <w:lang w:eastAsia="ar-SA"/>
            </w:rPr>
            <w:t>Geändert:</w:t>
          </w:r>
        </w:p>
      </w:tc>
      <w:tc>
        <w:tcPr>
          <w:tcW w:w="1938"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r w:rsidRPr="008C18F7">
            <w:rPr>
              <w:rFonts w:ascii="Arial" w:eastAsia="Times New Roman" w:hAnsi="Arial" w:cs="Arial"/>
              <w:bCs/>
              <w:sz w:val="18"/>
              <w:szCs w:val="18"/>
              <w:lang w:eastAsia="ar-SA"/>
            </w:rPr>
            <w:t>Geprüft:</w:t>
          </w:r>
        </w:p>
      </w:tc>
      <w:tc>
        <w:tcPr>
          <w:tcW w:w="1327"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r w:rsidRPr="008C18F7">
            <w:rPr>
              <w:rFonts w:ascii="Arial" w:eastAsia="Times New Roman" w:hAnsi="Arial" w:cs="Arial"/>
              <w:bCs/>
              <w:sz w:val="18"/>
              <w:szCs w:val="18"/>
              <w:lang w:eastAsia="ar-SA"/>
            </w:rPr>
            <w:t>Freigegeben:</w:t>
          </w:r>
        </w:p>
      </w:tc>
      <w:tc>
        <w:tcPr>
          <w:tcW w:w="1146"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r w:rsidRPr="008C18F7">
            <w:rPr>
              <w:rFonts w:ascii="Arial" w:eastAsia="Times New Roman" w:hAnsi="Arial" w:cs="Arial"/>
              <w:bCs/>
              <w:sz w:val="18"/>
              <w:szCs w:val="18"/>
              <w:lang w:eastAsia="ar-SA"/>
            </w:rPr>
            <w:t>Rev.</w:t>
          </w:r>
        </w:p>
      </w:tc>
      <w:tc>
        <w:tcPr>
          <w:tcW w:w="1599"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r w:rsidRPr="008C18F7">
            <w:rPr>
              <w:rFonts w:ascii="Arial" w:eastAsia="Times New Roman" w:hAnsi="Arial" w:cs="Arial"/>
              <w:bCs/>
              <w:sz w:val="18"/>
              <w:szCs w:val="18"/>
              <w:lang w:eastAsia="ar-SA"/>
            </w:rPr>
            <w:t>Freigabedatum:</w:t>
          </w:r>
        </w:p>
      </w:tc>
      <w:tc>
        <w:tcPr>
          <w:tcW w:w="1865" w:type="dxa"/>
          <w:tcBorders>
            <w:top w:val="single" w:sz="4" w:space="0" w:color="000000"/>
            <w:left w:val="single" w:sz="4" w:space="0" w:color="000000"/>
            <w:bottom w:val="single" w:sz="4" w:space="0" w:color="000000"/>
            <w:right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r w:rsidRPr="008C18F7">
            <w:rPr>
              <w:rFonts w:ascii="Arial" w:eastAsia="Times New Roman" w:hAnsi="Arial" w:cs="Arial"/>
              <w:bCs/>
              <w:sz w:val="18"/>
              <w:szCs w:val="18"/>
              <w:lang w:eastAsia="ar-SA"/>
            </w:rPr>
            <w:t>Seite</w:t>
          </w:r>
        </w:p>
      </w:tc>
    </w:tr>
    <w:tr w:rsidR="008C18F7" w:rsidRPr="008C18F7" w:rsidTr="00CD2B25">
      <w:trPr>
        <w:trHeight w:val="284"/>
      </w:trPr>
      <w:tc>
        <w:tcPr>
          <w:tcW w:w="1764"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p>
      </w:tc>
      <w:tc>
        <w:tcPr>
          <w:tcW w:w="1938"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p>
      </w:tc>
      <w:tc>
        <w:tcPr>
          <w:tcW w:w="1327"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p>
      </w:tc>
      <w:tc>
        <w:tcPr>
          <w:tcW w:w="1146"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r>
            <w:rPr>
              <w:rFonts w:ascii="Arial" w:eastAsia="Times New Roman" w:hAnsi="Arial" w:cs="Arial"/>
              <w:bCs/>
              <w:sz w:val="18"/>
              <w:szCs w:val="18"/>
              <w:lang w:eastAsia="ar-SA"/>
            </w:rPr>
            <w:t>0</w:t>
          </w:r>
        </w:p>
      </w:tc>
      <w:tc>
        <w:tcPr>
          <w:tcW w:w="1599"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p>
      </w:tc>
      <w:tc>
        <w:tcPr>
          <w:tcW w:w="1865" w:type="dxa"/>
          <w:tcBorders>
            <w:top w:val="single" w:sz="4" w:space="0" w:color="000000"/>
            <w:left w:val="single" w:sz="4" w:space="0" w:color="000000"/>
            <w:bottom w:val="single" w:sz="4" w:space="0" w:color="000000"/>
            <w:right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r w:rsidRPr="008C18F7">
            <w:rPr>
              <w:rFonts w:ascii="Arial" w:eastAsia="Times New Roman" w:hAnsi="Arial" w:cs="Arial"/>
              <w:bCs/>
              <w:sz w:val="18"/>
              <w:szCs w:val="18"/>
              <w:lang w:eastAsia="ar-SA"/>
            </w:rPr>
            <w:t xml:space="preserve">Seite </w:t>
          </w:r>
          <w:r w:rsidRPr="008C18F7">
            <w:rPr>
              <w:rFonts w:ascii="Arial" w:eastAsia="Times New Roman" w:hAnsi="Arial" w:cs="Arial"/>
              <w:bCs/>
              <w:sz w:val="18"/>
              <w:szCs w:val="18"/>
              <w:lang w:eastAsia="ar-SA"/>
            </w:rPr>
            <w:fldChar w:fldCharType="begin"/>
          </w:r>
          <w:r w:rsidRPr="008C18F7">
            <w:rPr>
              <w:rFonts w:ascii="Arial" w:eastAsia="Times New Roman" w:hAnsi="Arial" w:cs="Arial"/>
              <w:bCs/>
              <w:sz w:val="18"/>
              <w:szCs w:val="18"/>
              <w:lang w:eastAsia="ar-SA"/>
            </w:rPr>
            <w:instrText xml:space="preserve"> PAGE </w:instrText>
          </w:r>
          <w:r w:rsidRPr="008C18F7">
            <w:rPr>
              <w:rFonts w:ascii="Arial" w:eastAsia="Times New Roman" w:hAnsi="Arial" w:cs="Arial"/>
              <w:bCs/>
              <w:sz w:val="18"/>
              <w:szCs w:val="18"/>
              <w:lang w:eastAsia="ar-SA"/>
            </w:rPr>
            <w:fldChar w:fldCharType="separate"/>
          </w:r>
          <w:r w:rsidRPr="008C18F7">
            <w:rPr>
              <w:rFonts w:ascii="Arial" w:eastAsia="Times New Roman" w:hAnsi="Arial" w:cs="Arial"/>
              <w:bCs/>
              <w:noProof/>
              <w:sz w:val="18"/>
              <w:szCs w:val="18"/>
              <w:lang w:eastAsia="ar-SA"/>
            </w:rPr>
            <w:t>1</w:t>
          </w:r>
          <w:r w:rsidRPr="008C18F7">
            <w:rPr>
              <w:rFonts w:ascii="Arial" w:eastAsia="Times New Roman" w:hAnsi="Arial" w:cs="Arial"/>
              <w:bCs/>
              <w:sz w:val="18"/>
              <w:szCs w:val="18"/>
              <w:lang w:eastAsia="ar-SA"/>
            </w:rPr>
            <w:fldChar w:fldCharType="end"/>
          </w:r>
          <w:r w:rsidRPr="008C18F7">
            <w:rPr>
              <w:rFonts w:ascii="Arial" w:eastAsia="Times New Roman" w:hAnsi="Arial" w:cs="Arial"/>
              <w:bCs/>
              <w:sz w:val="18"/>
              <w:szCs w:val="18"/>
              <w:lang w:eastAsia="ar-SA"/>
            </w:rPr>
            <w:t xml:space="preserve"> von </w:t>
          </w:r>
          <w:r w:rsidRPr="008C18F7">
            <w:rPr>
              <w:rFonts w:ascii="Arial" w:eastAsia="Times New Roman" w:hAnsi="Arial" w:cs="Arial"/>
              <w:bCs/>
              <w:sz w:val="18"/>
              <w:szCs w:val="18"/>
              <w:lang w:eastAsia="ar-SA"/>
            </w:rPr>
            <w:fldChar w:fldCharType="begin"/>
          </w:r>
          <w:r w:rsidRPr="008C18F7">
            <w:rPr>
              <w:rFonts w:ascii="Arial" w:eastAsia="Times New Roman" w:hAnsi="Arial" w:cs="Arial"/>
              <w:bCs/>
              <w:sz w:val="18"/>
              <w:szCs w:val="18"/>
              <w:lang w:eastAsia="ar-SA"/>
            </w:rPr>
            <w:instrText xml:space="preserve"> NUMPAGES \*Arabic </w:instrText>
          </w:r>
          <w:r w:rsidRPr="008C18F7">
            <w:rPr>
              <w:rFonts w:ascii="Arial" w:eastAsia="Times New Roman" w:hAnsi="Arial" w:cs="Arial"/>
              <w:bCs/>
              <w:sz w:val="18"/>
              <w:szCs w:val="18"/>
              <w:lang w:eastAsia="ar-SA"/>
            </w:rPr>
            <w:fldChar w:fldCharType="separate"/>
          </w:r>
          <w:r w:rsidRPr="008C18F7">
            <w:rPr>
              <w:rFonts w:ascii="Arial" w:eastAsia="Times New Roman" w:hAnsi="Arial" w:cs="Arial"/>
              <w:bCs/>
              <w:noProof/>
              <w:sz w:val="18"/>
              <w:szCs w:val="18"/>
              <w:lang w:eastAsia="ar-SA"/>
            </w:rPr>
            <w:t>18</w:t>
          </w:r>
          <w:r w:rsidRPr="008C18F7">
            <w:rPr>
              <w:rFonts w:ascii="Arial" w:eastAsia="Times New Roman" w:hAnsi="Arial" w:cs="Arial"/>
              <w:bCs/>
              <w:sz w:val="18"/>
              <w:szCs w:val="18"/>
              <w:lang w:eastAsia="ar-SA"/>
            </w:rPr>
            <w:fldChar w:fldCharType="end"/>
          </w:r>
        </w:p>
      </w:tc>
    </w:tr>
    <w:tr w:rsidR="008C18F7" w:rsidRPr="008C18F7" w:rsidTr="00CD2B25">
      <w:trPr>
        <w:trHeight w:val="284"/>
      </w:trPr>
      <w:tc>
        <w:tcPr>
          <w:tcW w:w="1764"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p>
      </w:tc>
      <w:tc>
        <w:tcPr>
          <w:tcW w:w="1938"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p>
      </w:tc>
      <w:tc>
        <w:tcPr>
          <w:tcW w:w="1327" w:type="dxa"/>
          <w:tcBorders>
            <w:top w:val="single" w:sz="4" w:space="0" w:color="000000"/>
            <w:left w:val="single" w:sz="4" w:space="0" w:color="000000"/>
            <w:bottom w:val="single" w:sz="4" w:space="0" w:color="000000"/>
          </w:tcBorders>
        </w:tcPr>
        <w:p w:rsidR="008C18F7" w:rsidRPr="008C18F7" w:rsidRDefault="008C18F7" w:rsidP="008C18F7">
          <w:pPr>
            <w:tabs>
              <w:tab w:val="center" w:pos="4536"/>
              <w:tab w:val="right" w:pos="9072"/>
            </w:tabs>
            <w:suppressAutoHyphens/>
            <w:snapToGrid w:val="0"/>
            <w:spacing w:after="0" w:line="240" w:lineRule="auto"/>
            <w:jc w:val="center"/>
            <w:rPr>
              <w:rFonts w:ascii="Arial" w:eastAsia="Times New Roman" w:hAnsi="Arial" w:cs="Arial"/>
              <w:bCs/>
              <w:sz w:val="18"/>
              <w:szCs w:val="18"/>
              <w:lang w:eastAsia="ar-SA"/>
            </w:rPr>
          </w:pPr>
        </w:p>
      </w:tc>
      <w:tc>
        <w:tcPr>
          <w:tcW w:w="4610" w:type="dxa"/>
          <w:gridSpan w:val="3"/>
          <w:tcBorders>
            <w:top w:val="single" w:sz="4" w:space="0" w:color="000000"/>
            <w:left w:val="single" w:sz="4" w:space="0" w:color="000000"/>
            <w:bottom w:val="single" w:sz="4" w:space="0" w:color="000000"/>
            <w:right w:val="single" w:sz="4" w:space="0" w:color="000000"/>
          </w:tcBorders>
        </w:tcPr>
        <w:p w:rsidR="008C18F7" w:rsidRPr="008C18F7" w:rsidRDefault="008C18F7" w:rsidP="008C18F7">
          <w:pPr>
            <w:tabs>
              <w:tab w:val="center" w:pos="4536"/>
              <w:tab w:val="right" w:pos="9072"/>
            </w:tabs>
            <w:suppressAutoHyphens/>
            <w:snapToGrid w:val="0"/>
            <w:spacing w:after="0" w:line="240" w:lineRule="auto"/>
            <w:rPr>
              <w:rFonts w:ascii="Arial" w:eastAsia="Times New Roman" w:hAnsi="Arial" w:cs="Arial"/>
              <w:bCs/>
              <w:sz w:val="18"/>
              <w:szCs w:val="18"/>
              <w:lang w:eastAsia="ar-SA"/>
            </w:rPr>
          </w:pPr>
          <w:r w:rsidRPr="008C18F7">
            <w:rPr>
              <w:rFonts w:ascii="Arial" w:eastAsia="Times New Roman" w:hAnsi="Arial" w:cs="Arial"/>
              <w:bCs/>
              <w:sz w:val="18"/>
              <w:szCs w:val="18"/>
              <w:lang w:eastAsia="ar-SA"/>
            </w:rPr>
            <w:t>Erstmalige Erstellung am: 2</w:t>
          </w:r>
          <w:r>
            <w:rPr>
              <w:rFonts w:ascii="Arial" w:eastAsia="Times New Roman" w:hAnsi="Arial" w:cs="Arial"/>
              <w:bCs/>
              <w:sz w:val="18"/>
              <w:szCs w:val="18"/>
              <w:lang w:eastAsia="ar-SA"/>
            </w:rPr>
            <w:t>7</w:t>
          </w:r>
          <w:r w:rsidRPr="008C18F7">
            <w:rPr>
              <w:rFonts w:ascii="Arial" w:eastAsia="Times New Roman" w:hAnsi="Arial" w:cs="Arial"/>
              <w:bCs/>
              <w:sz w:val="18"/>
              <w:szCs w:val="18"/>
              <w:lang w:eastAsia="ar-SA"/>
            </w:rPr>
            <w:t>.</w:t>
          </w:r>
          <w:r>
            <w:rPr>
              <w:rFonts w:ascii="Arial" w:eastAsia="Times New Roman" w:hAnsi="Arial" w:cs="Arial"/>
              <w:bCs/>
              <w:sz w:val="18"/>
              <w:szCs w:val="18"/>
              <w:lang w:eastAsia="ar-SA"/>
            </w:rPr>
            <w:t>10</w:t>
          </w:r>
          <w:r w:rsidRPr="008C18F7">
            <w:rPr>
              <w:rFonts w:ascii="Arial" w:eastAsia="Times New Roman" w:hAnsi="Arial" w:cs="Arial"/>
              <w:bCs/>
              <w:sz w:val="18"/>
              <w:szCs w:val="18"/>
              <w:lang w:eastAsia="ar-SA"/>
            </w:rPr>
            <w:t>.2020</w:t>
          </w:r>
        </w:p>
        <w:p w:rsidR="008C18F7" w:rsidRPr="008C18F7" w:rsidRDefault="008C18F7" w:rsidP="008C18F7">
          <w:pPr>
            <w:tabs>
              <w:tab w:val="center" w:pos="4536"/>
              <w:tab w:val="right" w:pos="9072"/>
            </w:tabs>
            <w:suppressAutoHyphens/>
            <w:spacing w:after="0" w:line="240" w:lineRule="auto"/>
            <w:rPr>
              <w:rFonts w:ascii="Arial" w:eastAsia="Times New Roman" w:hAnsi="Arial" w:cs="Arial"/>
              <w:bCs/>
              <w:sz w:val="18"/>
              <w:szCs w:val="18"/>
              <w:lang w:eastAsia="ar-SA"/>
            </w:rPr>
          </w:pPr>
          <w:r w:rsidRPr="008C18F7">
            <w:rPr>
              <w:rFonts w:ascii="Arial" w:eastAsia="Times New Roman" w:hAnsi="Arial" w:cs="Arial"/>
              <w:bCs/>
              <w:sz w:val="18"/>
              <w:szCs w:val="18"/>
              <w:lang w:eastAsia="ar-SA"/>
            </w:rPr>
            <w:t xml:space="preserve">von: </w:t>
          </w:r>
          <w:r>
            <w:rPr>
              <w:rFonts w:ascii="Arial" w:eastAsia="Times New Roman" w:hAnsi="Arial" w:cs="Arial"/>
              <w:bCs/>
              <w:sz w:val="18"/>
              <w:szCs w:val="18"/>
              <w:lang w:eastAsia="ar-SA"/>
            </w:rPr>
            <w:t>Erma Salkic</w:t>
          </w:r>
        </w:p>
      </w:tc>
    </w:tr>
  </w:tbl>
  <w:p w:rsidR="008C18F7" w:rsidRDefault="008C18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BC3" w:rsidRDefault="00665BC3" w:rsidP="008C18F7">
      <w:pPr>
        <w:spacing w:after="0" w:line="240" w:lineRule="auto"/>
      </w:pPr>
      <w:r>
        <w:separator/>
      </w:r>
    </w:p>
  </w:footnote>
  <w:footnote w:type="continuationSeparator" w:id="0">
    <w:p w:rsidR="00665BC3" w:rsidRDefault="00665BC3" w:rsidP="008C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318"/>
      <w:gridCol w:w="1911"/>
    </w:tblGrid>
    <w:tr w:rsidR="008C18F7" w:rsidRPr="008C18F7" w:rsidTr="00CD2B25">
      <w:trPr>
        <w:trHeight w:val="889"/>
        <w:jc w:val="center"/>
      </w:trPr>
      <w:tc>
        <w:tcPr>
          <w:tcW w:w="2127" w:type="dxa"/>
        </w:tcPr>
        <w:p w:rsidR="008C18F7" w:rsidRPr="008C18F7" w:rsidRDefault="008C18F7" w:rsidP="008C18F7">
          <w:pPr>
            <w:tabs>
              <w:tab w:val="center" w:pos="4536"/>
              <w:tab w:val="right" w:pos="9072"/>
            </w:tabs>
            <w:spacing w:after="0" w:line="240" w:lineRule="auto"/>
            <w:jc w:val="center"/>
            <w:rPr>
              <w:rFonts w:ascii="Times New Roman" w:eastAsia="Times New Roman" w:hAnsi="Times New Roman" w:cs="Times New Roman"/>
              <w:noProof/>
              <w:sz w:val="40"/>
              <w:szCs w:val="40"/>
              <w:lang w:eastAsia="de-DE"/>
            </w:rPr>
          </w:pPr>
          <w:r>
            <w:rPr>
              <w:rFonts w:ascii="Arial" w:eastAsia="Times New Roman" w:hAnsi="Arial" w:cs="Arial"/>
              <w:noProof/>
              <w:sz w:val="40"/>
              <w:szCs w:val="40"/>
              <w:lang w:eastAsia="de-DE"/>
            </w:rPr>
            <w:drawing>
              <wp:inline distT="0" distB="0" distL="0" distR="0">
                <wp:extent cx="1160780" cy="606056"/>
                <wp:effectExtent l="0" t="0" r="127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393" cy="606898"/>
                        </a:xfrm>
                        <a:prstGeom prst="rect">
                          <a:avLst/>
                        </a:prstGeom>
                        <a:noFill/>
                        <a:ln>
                          <a:noFill/>
                        </a:ln>
                      </pic:spPr>
                    </pic:pic>
                  </a:graphicData>
                </a:graphic>
              </wp:inline>
            </w:drawing>
          </w:r>
        </w:p>
      </w:tc>
      <w:tc>
        <w:tcPr>
          <w:tcW w:w="5318" w:type="dxa"/>
          <w:vAlign w:val="center"/>
        </w:tcPr>
        <w:p w:rsidR="008C18F7" w:rsidRPr="008C18F7" w:rsidRDefault="008C18F7" w:rsidP="008C18F7">
          <w:pPr>
            <w:tabs>
              <w:tab w:val="center" w:pos="4536"/>
              <w:tab w:val="right" w:pos="9072"/>
            </w:tabs>
            <w:spacing w:after="0" w:line="240" w:lineRule="auto"/>
            <w:jc w:val="center"/>
            <w:rPr>
              <w:rFonts w:ascii="Tahoma" w:eastAsia="Times New Roman" w:hAnsi="Tahoma" w:cs="Tahoma"/>
              <w:b/>
              <w:bCs/>
              <w:noProof/>
              <w:szCs w:val="24"/>
              <w:lang w:eastAsia="de-DE"/>
            </w:rPr>
          </w:pPr>
          <w:r>
            <w:rPr>
              <w:rFonts w:ascii="Arial" w:eastAsia="Times New Roman" w:hAnsi="Arial" w:cs="Arial"/>
              <w:b/>
              <w:bCs/>
              <w:noProof/>
              <w:color w:val="000000"/>
              <w:szCs w:val="24"/>
              <w:lang w:eastAsia="de-DE"/>
            </w:rPr>
            <w:t>Konzept zur Testung auf SARS- CoV- 2</w:t>
          </w:r>
        </w:p>
      </w:tc>
      <w:tc>
        <w:tcPr>
          <w:tcW w:w="1911" w:type="dxa"/>
          <w:vAlign w:val="center"/>
        </w:tcPr>
        <w:p w:rsidR="008C18F7" w:rsidRPr="008C18F7" w:rsidRDefault="008C18F7" w:rsidP="008C18F7">
          <w:pPr>
            <w:tabs>
              <w:tab w:val="center" w:pos="4536"/>
              <w:tab w:val="right" w:pos="9072"/>
            </w:tabs>
            <w:spacing w:after="0" w:line="240" w:lineRule="auto"/>
            <w:jc w:val="center"/>
            <w:rPr>
              <w:rFonts w:ascii="Arial" w:eastAsia="Times New Roman" w:hAnsi="Arial" w:cs="Arial"/>
              <w:b/>
              <w:bCs/>
              <w:noProof/>
              <w:szCs w:val="24"/>
              <w:lang w:eastAsia="de-DE"/>
            </w:rPr>
          </w:pPr>
          <w:r w:rsidRPr="008C18F7">
            <w:rPr>
              <w:rFonts w:ascii="Arial" w:eastAsia="Times New Roman" w:hAnsi="Arial" w:cs="Arial"/>
              <w:b/>
              <w:bCs/>
              <w:noProof/>
              <w:szCs w:val="24"/>
              <w:lang w:eastAsia="de-DE"/>
            </w:rPr>
            <w:t>VA</w:t>
          </w:r>
        </w:p>
      </w:tc>
    </w:tr>
  </w:tbl>
  <w:p w:rsidR="008C18F7" w:rsidRDefault="008C18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43FA2"/>
    <w:multiLevelType w:val="hybridMultilevel"/>
    <w:tmpl w:val="B2C813C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3CF25BD7"/>
    <w:multiLevelType w:val="hybridMultilevel"/>
    <w:tmpl w:val="B180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604BA0"/>
    <w:multiLevelType w:val="hybridMultilevel"/>
    <w:tmpl w:val="1C48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0D4290"/>
    <w:multiLevelType w:val="hybridMultilevel"/>
    <w:tmpl w:val="0A36F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68621B"/>
    <w:multiLevelType w:val="hybridMultilevel"/>
    <w:tmpl w:val="7A966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E663C7"/>
    <w:multiLevelType w:val="hybridMultilevel"/>
    <w:tmpl w:val="0846A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E9277C"/>
    <w:multiLevelType w:val="hybridMultilevel"/>
    <w:tmpl w:val="178CB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BB"/>
    <w:rsid w:val="000F3B0F"/>
    <w:rsid w:val="000F54BB"/>
    <w:rsid w:val="001516C0"/>
    <w:rsid w:val="00164A16"/>
    <w:rsid w:val="00191179"/>
    <w:rsid w:val="001E4FAF"/>
    <w:rsid w:val="00203743"/>
    <w:rsid w:val="00225C5A"/>
    <w:rsid w:val="002439CF"/>
    <w:rsid w:val="002B2348"/>
    <w:rsid w:val="002E01EF"/>
    <w:rsid w:val="0030538D"/>
    <w:rsid w:val="0032428A"/>
    <w:rsid w:val="003340DA"/>
    <w:rsid w:val="003615D8"/>
    <w:rsid w:val="003907B8"/>
    <w:rsid w:val="003D0DBE"/>
    <w:rsid w:val="003D2DAC"/>
    <w:rsid w:val="00483B74"/>
    <w:rsid w:val="004C7380"/>
    <w:rsid w:val="005058F7"/>
    <w:rsid w:val="00523FA5"/>
    <w:rsid w:val="00557B87"/>
    <w:rsid w:val="00563942"/>
    <w:rsid w:val="00594FF9"/>
    <w:rsid w:val="00595B3E"/>
    <w:rsid w:val="005C5C29"/>
    <w:rsid w:val="005D7720"/>
    <w:rsid w:val="00665BC3"/>
    <w:rsid w:val="00685DA5"/>
    <w:rsid w:val="006A5520"/>
    <w:rsid w:val="006F720B"/>
    <w:rsid w:val="00793EC7"/>
    <w:rsid w:val="00825198"/>
    <w:rsid w:val="00831B1C"/>
    <w:rsid w:val="008825DF"/>
    <w:rsid w:val="00886893"/>
    <w:rsid w:val="008C18F7"/>
    <w:rsid w:val="008D6CBD"/>
    <w:rsid w:val="009301AE"/>
    <w:rsid w:val="00932F48"/>
    <w:rsid w:val="00951EEB"/>
    <w:rsid w:val="00975C9D"/>
    <w:rsid w:val="00975CB9"/>
    <w:rsid w:val="00A37AD6"/>
    <w:rsid w:val="00A62944"/>
    <w:rsid w:val="00A74CC5"/>
    <w:rsid w:val="00A87A00"/>
    <w:rsid w:val="00A92133"/>
    <w:rsid w:val="00B03E1E"/>
    <w:rsid w:val="00B275AC"/>
    <w:rsid w:val="00B60A5B"/>
    <w:rsid w:val="00B77FED"/>
    <w:rsid w:val="00B82500"/>
    <w:rsid w:val="00C22F90"/>
    <w:rsid w:val="00C23E3B"/>
    <w:rsid w:val="00C25985"/>
    <w:rsid w:val="00C56769"/>
    <w:rsid w:val="00C61AA5"/>
    <w:rsid w:val="00CC2B3C"/>
    <w:rsid w:val="00CE7284"/>
    <w:rsid w:val="00CF5138"/>
    <w:rsid w:val="00CF5FB8"/>
    <w:rsid w:val="00D1249F"/>
    <w:rsid w:val="00D704AD"/>
    <w:rsid w:val="00D713CF"/>
    <w:rsid w:val="00D83BEB"/>
    <w:rsid w:val="00E31D35"/>
    <w:rsid w:val="00E45DAF"/>
    <w:rsid w:val="00ED34A7"/>
    <w:rsid w:val="00F216E5"/>
    <w:rsid w:val="00F2446C"/>
    <w:rsid w:val="00F26D6C"/>
    <w:rsid w:val="00F70D6F"/>
    <w:rsid w:val="00F83E31"/>
    <w:rsid w:val="00F91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02334B"/>
  <w15:chartTrackingRefBased/>
  <w15:docId w15:val="{E812DDD6-7299-4599-B88A-AAD119DC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83E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1D35"/>
    <w:pPr>
      <w:ind w:left="720"/>
      <w:contextualSpacing/>
    </w:pPr>
  </w:style>
  <w:style w:type="character" w:customStyle="1" w:styleId="berschrift1Zchn">
    <w:name w:val="Überschrift 1 Zchn"/>
    <w:basedOn w:val="Absatz-Standardschriftart"/>
    <w:link w:val="berschrift1"/>
    <w:uiPriority w:val="9"/>
    <w:rsid w:val="00F83E31"/>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F83E31"/>
    <w:pPr>
      <w:spacing w:line="259" w:lineRule="auto"/>
      <w:outlineLvl w:val="9"/>
    </w:pPr>
    <w:rPr>
      <w:lang w:eastAsia="de-DE"/>
    </w:rPr>
  </w:style>
  <w:style w:type="paragraph" w:styleId="Verzeichnis1">
    <w:name w:val="toc 1"/>
    <w:basedOn w:val="Standard"/>
    <w:next w:val="Standard"/>
    <w:autoRedefine/>
    <w:uiPriority w:val="39"/>
    <w:unhideWhenUsed/>
    <w:rsid w:val="00F83E31"/>
    <w:pPr>
      <w:spacing w:after="100"/>
    </w:pPr>
  </w:style>
  <w:style w:type="character" w:styleId="Hyperlink">
    <w:name w:val="Hyperlink"/>
    <w:basedOn w:val="Absatz-Standardschriftart"/>
    <w:uiPriority w:val="99"/>
    <w:unhideWhenUsed/>
    <w:rsid w:val="00F83E31"/>
    <w:rPr>
      <w:color w:val="0000FF" w:themeColor="hyperlink"/>
      <w:u w:val="single"/>
    </w:rPr>
  </w:style>
  <w:style w:type="character" w:styleId="NichtaufgelsteErwhnung">
    <w:name w:val="Unresolved Mention"/>
    <w:basedOn w:val="Absatz-Standardschriftart"/>
    <w:uiPriority w:val="99"/>
    <w:semiHidden/>
    <w:unhideWhenUsed/>
    <w:rsid w:val="0030538D"/>
    <w:rPr>
      <w:color w:val="605E5C"/>
      <w:shd w:val="clear" w:color="auto" w:fill="E1DFDD"/>
    </w:rPr>
  </w:style>
  <w:style w:type="character" w:styleId="BesuchterLink">
    <w:name w:val="FollowedHyperlink"/>
    <w:basedOn w:val="Absatz-Standardschriftart"/>
    <w:uiPriority w:val="99"/>
    <w:semiHidden/>
    <w:unhideWhenUsed/>
    <w:rsid w:val="0030538D"/>
    <w:rPr>
      <w:color w:val="800080" w:themeColor="followedHyperlink"/>
      <w:u w:val="single"/>
    </w:rPr>
  </w:style>
  <w:style w:type="paragraph" w:styleId="Kopfzeile">
    <w:name w:val="header"/>
    <w:basedOn w:val="Standard"/>
    <w:link w:val="KopfzeileZchn"/>
    <w:uiPriority w:val="99"/>
    <w:unhideWhenUsed/>
    <w:rsid w:val="008C1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8F7"/>
  </w:style>
  <w:style w:type="paragraph" w:styleId="Fuzeile">
    <w:name w:val="footer"/>
    <w:basedOn w:val="Standard"/>
    <w:link w:val="FuzeileZchn"/>
    <w:uiPriority w:val="99"/>
    <w:unhideWhenUsed/>
    <w:rsid w:val="008C1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pf-file\vol\Shares\QMH\QMH%20An%20der%20Rodau\8.%20Corona\Hygieneplan%20COVID-19-Pandemie_r&#246;dermark%20neu%20mit%20Peggy.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AB5E-29C3-4CA6-B935-8D5B9DF6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1368</Words>
  <Characters>8624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 Salkic | PFLEGESTIFT "AN DER RODAU"</dc:creator>
  <cp:keywords/>
  <dc:description/>
  <cp:lastModifiedBy>Peggy Marder | PFLEGESTIFT "AN DER RODAU"</cp:lastModifiedBy>
  <cp:revision>4</cp:revision>
  <dcterms:created xsi:type="dcterms:W3CDTF">2021-11-23T13:26:00Z</dcterms:created>
  <dcterms:modified xsi:type="dcterms:W3CDTF">2021-11-23T13:57:00Z</dcterms:modified>
</cp:coreProperties>
</file>